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C5AB89" w14:textId="77777777" w:rsidR="00467516" w:rsidRPr="00F0074A" w:rsidRDefault="00467516" w:rsidP="00E06F63">
      <w:pPr>
        <w:rPr>
          <w:rFonts w:eastAsia="Calibri"/>
        </w:rPr>
      </w:pPr>
      <w:bookmarkStart w:id="0" w:name="_GoBack"/>
      <w:bookmarkEnd w:id="0"/>
    </w:p>
    <w:p w14:paraId="458A8DA5" w14:textId="77777777" w:rsidR="00791B94" w:rsidRDefault="00791B94" w:rsidP="0010568E">
      <w:pPr>
        <w:spacing w:line="240" w:lineRule="auto"/>
        <w:jc w:val="center"/>
        <w:rPr>
          <w:rFonts w:eastAsia="Calibri"/>
          <w:b/>
        </w:rPr>
      </w:pPr>
    </w:p>
    <w:p w14:paraId="20F27870" w14:textId="77777777" w:rsidR="00791B94" w:rsidRDefault="00791B94" w:rsidP="0010568E">
      <w:pPr>
        <w:spacing w:line="240" w:lineRule="auto"/>
        <w:jc w:val="center"/>
        <w:rPr>
          <w:rFonts w:eastAsia="Calibri"/>
          <w:b/>
        </w:rPr>
      </w:pPr>
    </w:p>
    <w:p w14:paraId="3E575EDC" w14:textId="77777777" w:rsidR="00791B94" w:rsidRDefault="00791B94" w:rsidP="0010568E">
      <w:pPr>
        <w:spacing w:line="240" w:lineRule="auto"/>
        <w:jc w:val="center"/>
        <w:rPr>
          <w:rFonts w:eastAsia="Calibri"/>
          <w:b/>
        </w:rPr>
      </w:pPr>
    </w:p>
    <w:p w14:paraId="5E6073AA" w14:textId="77777777" w:rsidR="00791B94" w:rsidRDefault="00791B94" w:rsidP="0010568E">
      <w:pPr>
        <w:spacing w:line="240" w:lineRule="auto"/>
        <w:jc w:val="center"/>
        <w:rPr>
          <w:rFonts w:eastAsia="Calibri"/>
          <w:b/>
        </w:rPr>
      </w:pPr>
    </w:p>
    <w:p w14:paraId="44F4A664" w14:textId="77777777" w:rsidR="00791B94" w:rsidRDefault="00791B94" w:rsidP="0010568E">
      <w:pPr>
        <w:spacing w:line="240" w:lineRule="auto"/>
        <w:jc w:val="center"/>
        <w:rPr>
          <w:rFonts w:eastAsia="Calibri"/>
          <w:b/>
        </w:rPr>
      </w:pPr>
    </w:p>
    <w:p w14:paraId="3264999F" w14:textId="77777777" w:rsidR="00791B94" w:rsidRDefault="00791B94" w:rsidP="0010568E">
      <w:pPr>
        <w:spacing w:line="240" w:lineRule="auto"/>
        <w:jc w:val="center"/>
        <w:rPr>
          <w:rFonts w:eastAsia="Calibri"/>
          <w:b/>
        </w:rPr>
      </w:pPr>
    </w:p>
    <w:p w14:paraId="0F528A94" w14:textId="7AB0A341" w:rsidR="00562B60" w:rsidRPr="00F0074A" w:rsidRDefault="00467516" w:rsidP="0010568E">
      <w:pPr>
        <w:spacing w:line="240" w:lineRule="auto"/>
        <w:jc w:val="center"/>
        <w:rPr>
          <w:rFonts w:eastAsia="Calibri" w:cs="Calibri"/>
          <w:b/>
        </w:rPr>
      </w:pPr>
      <w:r w:rsidRPr="00F0074A">
        <w:rPr>
          <w:rFonts w:eastAsia="Calibri"/>
          <w:b/>
        </w:rPr>
        <w:t>CORTE INTERAMERICANA DE DERECHOS HUMANOS</w:t>
      </w:r>
      <w:r w:rsidR="00562B60" w:rsidRPr="00F0074A">
        <w:rPr>
          <w:rStyle w:val="Refdenotaalpie"/>
          <w:rFonts w:eastAsia="Calibri" w:cs="Calibri"/>
          <w:b/>
        </w:rPr>
        <w:footnoteReference w:customMarkFollows="1" w:id="1"/>
        <w:t>*</w:t>
      </w:r>
    </w:p>
    <w:p w14:paraId="6C9B0124" w14:textId="77777777" w:rsidR="00467516" w:rsidRPr="00F0074A" w:rsidRDefault="00467516" w:rsidP="0010568E">
      <w:pPr>
        <w:spacing w:line="240" w:lineRule="auto"/>
        <w:jc w:val="center"/>
        <w:rPr>
          <w:rFonts w:eastAsia="Calibri"/>
          <w:b/>
          <w:snapToGrid w:val="0"/>
          <w:lang w:eastAsia="es-ES"/>
        </w:rPr>
      </w:pPr>
    </w:p>
    <w:p w14:paraId="1187B6D2" w14:textId="77777777" w:rsidR="00467516" w:rsidRPr="00F0074A" w:rsidRDefault="00467516" w:rsidP="0010568E">
      <w:pPr>
        <w:spacing w:line="240" w:lineRule="auto"/>
        <w:jc w:val="center"/>
        <w:rPr>
          <w:rFonts w:eastAsia="Calibri"/>
          <w:b/>
        </w:rPr>
      </w:pPr>
      <w:r w:rsidRPr="00F0074A">
        <w:rPr>
          <w:rFonts w:eastAsia="Calibri"/>
          <w:b/>
        </w:rPr>
        <w:t xml:space="preserve">CASO </w:t>
      </w:r>
      <w:r w:rsidR="0036509D" w:rsidRPr="00F0074A">
        <w:rPr>
          <w:rFonts w:eastAsia="Calibri"/>
          <w:b/>
        </w:rPr>
        <w:t>JENKINS</w:t>
      </w:r>
      <w:r w:rsidRPr="00F0074A">
        <w:rPr>
          <w:rFonts w:eastAsia="Calibri"/>
          <w:b/>
        </w:rPr>
        <w:t xml:space="preserve"> VS. </w:t>
      </w:r>
      <w:r w:rsidR="0036509D" w:rsidRPr="00F0074A">
        <w:rPr>
          <w:rFonts w:eastAsia="Calibri"/>
          <w:b/>
        </w:rPr>
        <w:t>ARGENTINA</w:t>
      </w:r>
    </w:p>
    <w:p w14:paraId="1E7D49C4" w14:textId="77777777" w:rsidR="00467516" w:rsidRPr="00F0074A" w:rsidRDefault="00467516" w:rsidP="0010568E">
      <w:pPr>
        <w:spacing w:line="240" w:lineRule="auto"/>
        <w:jc w:val="center"/>
        <w:rPr>
          <w:rFonts w:eastAsia="Calibri"/>
          <w:b/>
          <w:snapToGrid w:val="0"/>
          <w:lang w:eastAsia="es-ES"/>
        </w:rPr>
      </w:pPr>
    </w:p>
    <w:p w14:paraId="4783B5E0" w14:textId="17F85D8D" w:rsidR="00467516" w:rsidRPr="00F0074A" w:rsidRDefault="00467516" w:rsidP="0010568E">
      <w:pPr>
        <w:spacing w:line="240" w:lineRule="auto"/>
        <w:jc w:val="center"/>
        <w:rPr>
          <w:rFonts w:eastAsia="Calibri"/>
          <w:b/>
          <w:snapToGrid w:val="0"/>
          <w:lang w:eastAsia="es-ES"/>
        </w:rPr>
      </w:pPr>
      <w:r w:rsidRPr="00F0074A">
        <w:rPr>
          <w:rFonts w:eastAsia="Calibri"/>
          <w:b/>
          <w:snapToGrid w:val="0"/>
          <w:lang w:eastAsia="es-ES"/>
        </w:rPr>
        <w:t xml:space="preserve">SENTENCIA DE </w:t>
      </w:r>
      <w:r w:rsidR="005856BA">
        <w:rPr>
          <w:rFonts w:eastAsia="Calibri"/>
          <w:b/>
          <w:snapToGrid w:val="0"/>
          <w:lang w:eastAsia="es-ES"/>
        </w:rPr>
        <w:t>26</w:t>
      </w:r>
      <w:r w:rsidRPr="00F0074A">
        <w:rPr>
          <w:rFonts w:eastAsia="Calibri"/>
          <w:b/>
          <w:snapToGrid w:val="0"/>
          <w:lang w:eastAsia="es-ES"/>
        </w:rPr>
        <w:t xml:space="preserve"> DE </w:t>
      </w:r>
      <w:r w:rsidR="005856BA">
        <w:rPr>
          <w:rFonts w:eastAsia="Calibri"/>
          <w:b/>
          <w:snapToGrid w:val="0"/>
          <w:lang w:eastAsia="es-ES"/>
        </w:rPr>
        <w:t>NOVIEMBRE</w:t>
      </w:r>
      <w:r w:rsidRPr="00F0074A">
        <w:rPr>
          <w:rFonts w:eastAsia="Calibri"/>
          <w:b/>
          <w:snapToGrid w:val="0"/>
          <w:lang w:eastAsia="es-ES"/>
        </w:rPr>
        <w:t xml:space="preserve"> DE </w:t>
      </w:r>
      <w:r w:rsidR="0036509D" w:rsidRPr="00F0074A">
        <w:rPr>
          <w:rFonts w:eastAsia="Calibri"/>
          <w:b/>
          <w:snapToGrid w:val="0"/>
          <w:lang w:eastAsia="es-ES"/>
        </w:rPr>
        <w:t>201</w:t>
      </w:r>
      <w:r w:rsidR="00B24A14">
        <w:rPr>
          <w:rFonts w:eastAsia="Calibri"/>
          <w:b/>
          <w:snapToGrid w:val="0"/>
          <w:lang w:eastAsia="es-ES"/>
        </w:rPr>
        <w:t>9</w:t>
      </w:r>
    </w:p>
    <w:p w14:paraId="22E52BC4" w14:textId="77777777" w:rsidR="00467516" w:rsidRPr="00F0074A" w:rsidRDefault="00467516" w:rsidP="0010568E">
      <w:pPr>
        <w:spacing w:line="240" w:lineRule="auto"/>
        <w:jc w:val="center"/>
        <w:rPr>
          <w:rFonts w:eastAsia="Calibri"/>
          <w:b/>
          <w:snapToGrid w:val="0"/>
          <w:lang w:eastAsia="es-ES"/>
        </w:rPr>
      </w:pPr>
    </w:p>
    <w:p w14:paraId="4CCCCC6E" w14:textId="77777777" w:rsidR="00467516" w:rsidRPr="00F0074A" w:rsidRDefault="0036509D" w:rsidP="0010568E">
      <w:pPr>
        <w:spacing w:line="240" w:lineRule="auto"/>
        <w:jc w:val="center"/>
        <w:rPr>
          <w:rFonts w:eastAsia="Calibri"/>
          <w:b/>
          <w:caps/>
          <w:snapToGrid w:val="0"/>
          <w:lang w:eastAsia="es-ES"/>
        </w:rPr>
      </w:pPr>
      <w:r w:rsidRPr="00F0074A">
        <w:rPr>
          <w:rFonts w:eastAsia="Calibri"/>
          <w:b/>
          <w:snapToGrid w:val="0"/>
          <w:lang w:eastAsia="es-ES"/>
        </w:rPr>
        <w:t>(Excepciones</w:t>
      </w:r>
      <w:r w:rsidR="00467516" w:rsidRPr="00F0074A">
        <w:rPr>
          <w:rFonts w:eastAsia="Calibri"/>
          <w:b/>
          <w:snapToGrid w:val="0"/>
          <w:lang w:eastAsia="es-ES"/>
        </w:rPr>
        <w:t xml:space="preserve"> Preliminar</w:t>
      </w:r>
      <w:r w:rsidR="00E80DB7" w:rsidRPr="00F0074A">
        <w:rPr>
          <w:rFonts w:eastAsia="Calibri"/>
          <w:b/>
          <w:snapToGrid w:val="0"/>
          <w:lang w:eastAsia="es-ES"/>
        </w:rPr>
        <w:t>e</w:t>
      </w:r>
      <w:r w:rsidRPr="00F0074A">
        <w:rPr>
          <w:rFonts w:eastAsia="Calibri"/>
          <w:b/>
          <w:snapToGrid w:val="0"/>
          <w:lang w:eastAsia="es-ES"/>
        </w:rPr>
        <w:t>s</w:t>
      </w:r>
      <w:r w:rsidR="00467516" w:rsidRPr="00F0074A">
        <w:rPr>
          <w:rFonts w:eastAsia="Calibri"/>
          <w:b/>
          <w:snapToGrid w:val="0"/>
          <w:lang w:eastAsia="es-ES"/>
        </w:rPr>
        <w:t>, Fondo, Reparaciones y Costas)</w:t>
      </w:r>
    </w:p>
    <w:p w14:paraId="67CB63B6" w14:textId="77777777" w:rsidR="00467516" w:rsidRPr="00F0074A" w:rsidRDefault="00467516" w:rsidP="00E06F63">
      <w:pPr>
        <w:spacing w:line="240" w:lineRule="auto"/>
        <w:rPr>
          <w:rFonts w:eastAsia="Calibri"/>
        </w:rPr>
      </w:pPr>
      <w:r w:rsidRPr="00F0074A">
        <w:rPr>
          <w:rFonts w:eastAsia="Calibri"/>
        </w:rPr>
        <w:tab/>
      </w:r>
    </w:p>
    <w:p w14:paraId="00BD2F76" w14:textId="77777777" w:rsidR="00467516" w:rsidRPr="00F0074A" w:rsidRDefault="00467516" w:rsidP="00E06F63">
      <w:pPr>
        <w:spacing w:line="240" w:lineRule="auto"/>
        <w:rPr>
          <w:rFonts w:eastAsia="Calibri"/>
        </w:rPr>
      </w:pPr>
    </w:p>
    <w:p w14:paraId="74D27C62" w14:textId="77777777" w:rsidR="008A431D" w:rsidRPr="00F0074A" w:rsidRDefault="008A431D" w:rsidP="00E06F63">
      <w:pPr>
        <w:spacing w:line="240" w:lineRule="auto"/>
        <w:rPr>
          <w:rFonts w:eastAsia="Verdana"/>
        </w:rPr>
      </w:pPr>
      <w:r w:rsidRPr="00F0074A">
        <w:rPr>
          <w:rFonts w:eastAsia="Verdana"/>
        </w:rPr>
        <w:t xml:space="preserve">En el caso </w:t>
      </w:r>
      <w:r w:rsidR="0061213A" w:rsidRPr="00F0074A">
        <w:rPr>
          <w:rFonts w:eastAsia="Verdana"/>
          <w:i/>
        </w:rPr>
        <w:t>Jenkins</w:t>
      </w:r>
      <w:r w:rsidRPr="00F0074A">
        <w:rPr>
          <w:rFonts w:eastAsia="Verdana"/>
        </w:rPr>
        <w:t>,</w:t>
      </w:r>
    </w:p>
    <w:p w14:paraId="49FAB67C" w14:textId="77777777" w:rsidR="008A431D" w:rsidRPr="00F0074A" w:rsidRDefault="008A431D" w:rsidP="00E06F63">
      <w:pPr>
        <w:spacing w:line="240" w:lineRule="auto"/>
        <w:rPr>
          <w:rFonts w:eastAsia="Calibri"/>
        </w:rPr>
      </w:pPr>
    </w:p>
    <w:p w14:paraId="3237943B" w14:textId="77777777" w:rsidR="008A431D" w:rsidRPr="00F0074A" w:rsidRDefault="008A431D" w:rsidP="00E06F63">
      <w:pPr>
        <w:spacing w:line="240" w:lineRule="auto"/>
        <w:rPr>
          <w:rFonts w:eastAsia="Calibri"/>
        </w:rPr>
      </w:pPr>
      <w:r w:rsidRPr="00F0074A">
        <w:rPr>
          <w:rFonts w:eastAsia="Calibri"/>
        </w:rPr>
        <w:t>la Corte Interamericana de Derechos Humanos (en adelante “la Corte Interamericana”, “la Corte” o “este Tribunal”), integrada por los siguientes jueces:</w:t>
      </w:r>
      <w:r w:rsidRPr="00F0074A">
        <w:rPr>
          <w:rFonts w:eastAsia="Calibri"/>
        </w:rPr>
        <w:tab/>
      </w:r>
    </w:p>
    <w:p w14:paraId="193E6577" w14:textId="77777777" w:rsidR="008A431D" w:rsidRPr="00F0074A" w:rsidRDefault="008A431D" w:rsidP="00E06F63">
      <w:pPr>
        <w:spacing w:line="240" w:lineRule="auto"/>
        <w:rPr>
          <w:rFonts w:eastAsia="Calibri"/>
        </w:rPr>
      </w:pPr>
    </w:p>
    <w:p w14:paraId="3DA407E8" w14:textId="63DF41E5" w:rsidR="008A431D" w:rsidRPr="00F0074A" w:rsidRDefault="008A431D" w:rsidP="00E06F63">
      <w:pPr>
        <w:spacing w:line="240" w:lineRule="auto"/>
        <w:rPr>
          <w:rFonts w:eastAsia="Calibri"/>
        </w:rPr>
      </w:pPr>
      <w:r w:rsidRPr="00F0074A">
        <w:rPr>
          <w:rFonts w:eastAsia="Calibri"/>
        </w:rPr>
        <w:t xml:space="preserve">Eduardo Vio Grossi, </w:t>
      </w:r>
      <w:r w:rsidR="00A736B6">
        <w:rPr>
          <w:rFonts w:eastAsia="Calibri"/>
        </w:rPr>
        <w:t>Presidente en ejercicio</w:t>
      </w:r>
      <w:r w:rsidRPr="00F0074A">
        <w:rPr>
          <w:rFonts w:eastAsia="Calibri"/>
        </w:rPr>
        <w:t>;</w:t>
      </w:r>
    </w:p>
    <w:p w14:paraId="58D01B2F" w14:textId="77777777" w:rsidR="008A431D" w:rsidRPr="00F0074A" w:rsidRDefault="008A431D" w:rsidP="00E06F63">
      <w:pPr>
        <w:spacing w:line="240" w:lineRule="auto"/>
        <w:rPr>
          <w:rFonts w:eastAsia="Calibri"/>
        </w:rPr>
      </w:pPr>
      <w:r w:rsidRPr="00F0074A">
        <w:rPr>
          <w:rFonts w:eastAsia="Calibri"/>
        </w:rPr>
        <w:t>Humberto Antonio Sierra Porto, Juez;</w:t>
      </w:r>
    </w:p>
    <w:p w14:paraId="42AFB3FD" w14:textId="77777777" w:rsidR="008A431D" w:rsidRPr="00F0074A" w:rsidRDefault="008A431D" w:rsidP="00E06F63">
      <w:pPr>
        <w:spacing w:line="240" w:lineRule="auto"/>
        <w:rPr>
          <w:rFonts w:eastAsia="Calibri"/>
        </w:rPr>
      </w:pPr>
      <w:r w:rsidRPr="00F0074A">
        <w:rPr>
          <w:rFonts w:eastAsia="Calibri"/>
        </w:rPr>
        <w:t>Elizabeth Odio Benito, Jueza;</w:t>
      </w:r>
    </w:p>
    <w:p w14:paraId="6998C98C" w14:textId="77777777" w:rsidR="008A431D" w:rsidRPr="00F0074A" w:rsidRDefault="008A431D" w:rsidP="00E06F63">
      <w:pPr>
        <w:spacing w:line="240" w:lineRule="auto"/>
        <w:rPr>
          <w:rFonts w:eastAsia="Calibri"/>
        </w:rPr>
      </w:pPr>
      <w:r w:rsidRPr="00F0074A">
        <w:rPr>
          <w:rFonts w:eastAsia="Calibri"/>
        </w:rPr>
        <w:t xml:space="preserve">L. Patricio Pazmiño Freire, Juez, y </w:t>
      </w:r>
    </w:p>
    <w:p w14:paraId="2578FB7E" w14:textId="77777777" w:rsidR="008A431D" w:rsidRPr="00F0074A" w:rsidRDefault="008A431D" w:rsidP="00E06F63">
      <w:pPr>
        <w:spacing w:line="240" w:lineRule="auto"/>
        <w:rPr>
          <w:rFonts w:eastAsia="Calibri"/>
        </w:rPr>
      </w:pPr>
      <w:r w:rsidRPr="00F0074A">
        <w:rPr>
          <w:rFonts w:eastAsia="Calibri"/>
        </w:rPr>
        <w:t>Ricardo Pérez Manrique, Juez;</w:t>
      </w:r>
    </w:p>
    <w:p w14:paraId="2D54DF60" w14:textId="77777777" w:rsidR="008A431D" w:rsidRPr="00F0074A" w:rsidRDefault="008A431D" w:rsidP="00E06F63">
      <w:pPr>
        <w:spacing w:line="240" w:lineRule="auto"/>
        <w:rPr>
          <w:rFonts w:eastAsia="Calibri"/>
        </w:rPr>
      </w:pPr>
    </w:p>
    <w:p w14:paraId="2C0A2E1B" w14:textId="77777777" w:rsidR="008A431D" w:rsidRPr="00F0074A" w:rsidRDefault="008A431D" w:rsidP="00E06F63">
      <w:pPr>
        <w:spacing w:line="240" w:lineRule="auto"/>
        <w:rPr>
          <w:rFonts w:eastAsia="Calibri"/>
        </w:rPr>
      </w:pPr>
      <w:r w:rsidRPr="00F0074A">
        <w:rPr>
          <w:rFonts w:eastAsia="Calibri"/>
        </w:rPr>
        <w:t>presente además,</w:t>
      </w:r>
    </w:p>
    <w:p w14:paraId="1D979F8C" w14:textId="77777777" w:rsidR="008A431D" w:rsidRPr="00F0074A" w:rsidRDefault="008A431D" w:rsidP="00E06F63">
      <w:pPr>
        <w:spacing w:line="240" w:lineRule="auto"/>
        <w:rPr>
          <w:rFonts w:eastAsia="Calibri"/>
        </w:rPr>
      </w:pPr>
    </w:p>
    <w:p w14:paraId="5CD07A40" w14:textId="77777777" w:rsidR="008A431D" w:rsidRPr="00F0074A" w:rsidRDefault="008A431D" w:rsidP="00E06F63">
      <w:pPr>
        <w:spacing w:line="240" w:lineRule="auto"/>
        <w:rPr>
          <w:rFonts w:eastAsia="Calibri"/>
        </w:rPr>
      </w:pPr>
      <w:r w:rsidRPr="00F0074A">
        <w:rPr>
          <w:rFonts w:eastAsia="Calibri"/>
        </w:rPr>
        <w:t xml:space="preserve">Pablo Saavedra Alessandri, Secretario, </w:t>
      </w:r>
    </w:p>
    <w:p w14:paraId="44EED286" w14:textId="77777777" w:rsidR="008A431D" w:rsidRPr="00F0074A" w:rsidRDefault="008A431D" w:rsidP="00E06F63">
      <w:pPr>
        <w:spacing w:line="240" w:lineRule="auto"/>
        <w:rPr>
          <w:rFonts w:eastAsia="Calibri"/>
        </w:rPr>
      </w:pPr>
    </w:p>
    <w:p w14:paraId="190F4064" w14:textId="77777777" w:rsidR="008A431D" w:rsidRPr="00F0074A" w:rsidRDefault="008A431D" w:rsidP="00E06F63">
      <w:pPr>
        <w:spacing w:line="240" w:lineRule="auto"/>
        <w:rPr>
          <w:rFonts w:eastAsia="Calibri"/>
        </w:rPr>
      </w:pPr>
      <w:r w:rsidRPr="00F0074A">
        <w:rPr>
          <w:rFonts w:eastAsia="Calibri"/>
        </w:rPr>
        <w:t>de conformidad con los artículos 62.3 y 63.1 de la Convención Americana sobre Derechos Humanos (en adelante “la Convención Americana” o “la Convención”) y con los artículos 31, 32, 62, 65 y 67 del Reglamento de la Corte (en adelante “el Reglamento” o “el Reglamento de la Corte”), dicta la presente Sentencia, que se estructura en el siguiente orden:</w:t>
      </w:r>
    </w:p>
    <w:p w14:paraId="7925EA68" w14:textId="77777777" w:rsidR="008A431D" w:rsidRPr="00F0074A" w:rsidRDefault="008A431D" w:rsidP="00E06F63">
      <w:pPr>
        <w:spacing w:line="240" w:lineRule="auto"/>
        <w:rPr>
          <w:rFonts w:eastAsia="Verdana"/>
        </w:rPr>
      </w:pPr>
      <w:r w:rsidRPr="00F0074A">
        <w:rPr>
          <w:rFonts w:eastAsia="Verdana"/>
        </w:rPr>
        <w:br w:type="page"/>
      </w:r>
    </w:p>
    <w:sdt>
      <w:sdtPr>
        <w:rPr>
          <w:rFonts w:eastAsia="Times New Roman"/>
          <w:b w:val="0"/>
          <w:bCs/>
          <w:caps/>
          <w:noProof w:val="0"/>
        </w:rPr>
        <w:id w:val="1909802414"/>
        <w:docPartObj>
          <w:docPartGallery w:val="Table of Contents"/>
          <w:docPartUnique/>
        </w:docPartObj>
      </w:sdtPr>
      <w:sdtEndPr>
        <w:rPr>
          <w:bCs w:val="0"/>
          <w:caps w:val="0"/>
        </w:rPr>
      </w:sdtEndPr>
      <w:sdtContent>
        <w:p w14:paraId="5A1C4F80" w14:textId="42EA9F11" w:rsidR="002156A7" w:rsidRDefault="00467516">
          <w:pPr>
            <w:pStyle w:val="TDC1"/>
            <w:rPr>
              <w:rFonts w:asciiTheme="minorHAnsi" w:eastAsiaTheme="minorEastAsia" w:hAnsiTheme="minorHAnsi" w:cstheme="minorBidi"/>
              <w:b w:val="0"/>
              <w:sz w:val="22"/>
              <w:szCs w:val="22"/>
              <w:lang w:val="en-US" w:eastAsia="en-US"/>
            </w:rPr>
          </w:pPr>
          <w:r w:rsidRPr="007A57CF">
            <w:fldChar w:fldCharType="begin"/>
          </w:r>
          <w:r w:rsidRPr="007A57CF">
            <w:instrText xml:space="preserve"> TOC \o "1-3" \h \z \u </w:instrText>
          </w:r>
          <w:r w:rsidRPr="007A57CF">
            <w:fldChar w:fldCharType="separate"/>
          </w:r>
          <w:hyperlink w:anchor="_Toc27405396" w:history="1">
            <w:r w:rsidR="002156A7" w:rsidRPr="003A5388">
              <w:rPr>
                <w:rStyle w:val="Hipervnculo"/>
              </w:rPr>
              <w:t>I INTRODUCCIÓN DE LA CAUSA Y OBJETO DE LA CONTROVERSIA</w:t>
            </w:r>
            <w:r w:rsidR="002156A7">
              <w:rPr>
                <w:webHidden/>
              </w:rPr>
              <w:tab/>
            </w:r>
            <w:r w:rsidR="002156A7">
              <w:rPr>
                <w:webHidden/>
              </w:rPr>
              <w:fldChar w:fldCharType="begin"/>
            </w:r>
            <w:r w:rsidR="002156A7">
              <w:rPr>
                <w:webHidden/>
              </w:rPr>
              <w:instrText xml:space="preserve"> PAGEREF _Toc27405396 \h </w:instrText>
            </w:r>
            <w:r w:rsidR="002156A7">
              <w:rPr>
                <w:webHidden/>
              </w:rPr>
            </w:r>
            <w:r w:rsidR="002156A7">
              <w:rPr>
                <w:webHidden/>
              </w:rPr>
              <w:fldChar w:fldCharType="separate"/>
            </w:r>
            <w:r w:rsidR="00AB5EBB">
              <w:rPr>
                <w:webHidden/>
              </w:rPr>
              <w:t>4</w:t>
            </w:r>
            <w:r w:rsidR="002156A7">
              <w:rPr>
                <w:webHidden/>
              </w:rPr>
              <w:fldChar w:fldCharType="end"/>
            </w:r>
          </w:hyperlink>
        </w:p>
        <w:p w14:paraId="0B22BB91" w14:textId="6A9A83C8" w:rsidR="002156A7" w:rsidRDefault="00060FA6">
          <w:pPr>
            <w:pStyle w:val="TDC1"/>
            <w:rPr>
              <w:rFonts w:asciiTheme="minorHAnsi" w:eastAsiaTheme="minorEastAsia" w:hAnsiTheme="minorHAnsi" w:cstheme="minorBidi"/>
              <w:b w:val="0"/>
              <w:sz w:val="22"/>
              <w:szCs w:val="22"/>
              <w:lang w:val="en-US" w:eastAsia="en-US"/>
            </w:rPr>
          </w:pPr>
          <w:hyperlink w:anchor="_Toc27405397" w:history="1">
            <w:r w:rsidR="002156A7" w:rsidRPr="003A5388">
              <w:rPr>
                <w:rStyle w:val="Hipervnculo"/>
              </w:rPr>
              <w:t>II PROCEDIMIENTO ANTE LA CORTE</w:t>
            </w:r>
            <w:r w:rsidR="002156A7">
              <w:rPr>
                <w:webHidden/>
              </w:rPr>
              <w:tab/>
            </w:r>
            <w:r w:rsidR="002156A7">
              <w:rPr>
                <w:webHidden/>
              </w:rPr>
              <w:fldChar w:fldCharType="begin"/>
            </w:r>
            <w:r w:rsidR="002156A7">
              <w:rPr>
                <w:webHidden/>
              </w:rPr>
              <w:instrText xml:space="preserve"> PAGEREF _Toc27405397 \h </w:instrText>
            </w:r>
            <w:r w:rsidR="002156A7">
              <w:rPr>
                <w:webHidden/>
              </w:rPr>
            </w:r>
            <w:r w:rsidR="002156A7">
              <w:rPr>
                <w:webHidden/>
              </w:rPr>
              <w:fldChar w:fldCharType="separate"/>
            </w:r>
            <w:r w:rsidR="00AB5EBB">
              <w:rPr>
                <w:webHidden/>
              </w:rPr>
              <w:t>5</w:t>
            </w:r>
            <w:r w:rsidR="002156A7">
              <w:rPr>
                <w:webHidden/>
              </w:rPr>
              <w:fldChar w:fldCharType="end"/>
            </w:r>
          </w:hyperlink>
        </w:p>
        <w:p w14:paraId="4E8269E4" w14:textId="5A744131" w:rsidR="002156A7" w:rsidRDefault="00060FA6">
          <w:pPr>
            <w:pStyle w:val="TDC1"/>
            <w:rPr>
              <w:rFonts w:asciiTheme="minorHAnsi" w:eastAsiaTheme="minorEastAsia" w:hAnsiTheme="minorHAnsi" w:cstheme="minorBidi"/>
              <w:b w:val="0"/>
              <w:sz w:val="22"/>
              <w:szCs w:val="22"/>
              <w:lang w:val="en-US" w:eastAsia="en-US"/>
            </w:rPr>
          </w:pPr>
          <w:hyperlink w:anchor="_Toc27405398" w:history="1">
            <w:r w:rsidR="002156A7" w:rsidRPr="003A5388">
              <w:rPr>
                <w:rStyle w:val="Hipervnculo"/>
              </w:rPr>
              <w:t>III COMPETENCIA</w:t>
            </w:r>
            <w:r w:rsidR="002156A7">
              <w:rPr>
                <w:webHidden/>
              </w:rPr>
              <w:tab/>
            </w:r>
            <w:r w:rsidR="002156A7">
              <w:rPr>
                <w:webHidden/>
              </w:rPr>
              <w:fldChar w:fldCharType="begin"/>
            </w:r>
            <w:r w:rsidR="002156A7">
              <w:rPr>
                <w:webHidden/>
              </w:rPr>
              <w:instrText xml:space="preserve"> PAGEREF _Toc27405398 \h </w:instrText>
            </w:r>
            <w:r w:rsidR="002156A7">
              <w:rPr>
                <w:webHidden/>
              </w:rPr>
            </w:r>
            <w:r w:rsidR="002156A7">
              <w:rPr>
                <w:webHidden/>
              </w:rPr>
              <w:fldChar w:fldCharType="separate"/>
            </w:r>
            <w:r w:rsidR="00AB5EBB">
              <w:rPr>
                <w:webHidden/>
              </w:rPr>
              <w:t>6</w:t>
            </w:r>
            <w:r w:rsidR="002156A7">
              <w:rPr>
                <w:webHidden/>
              </w:rPr>
              <w:fldChar w:fldCharType="end"/>
            </w:r>
          </w:hyperlink>
        </w:p>
        <w:p w14:paraId="7C251CDA" w14:textId="4B414184" w:rsidR="002156A7" w:rsidRDefault="00060FA6">
          <w:pPr>
            <w:pStyle w:val="TDC1"/>
            <w:rPr>
              <w:rFonts w:asciiTheme="minorHAnsi" w:eastAsiaTheme="minorEastAsia" w:hAnsiTheme="minorHAnsi" w:cstheme="minorBidi"/>
              <w:b w:val="0"/>
              <w:sz w:val="22"/>
              <w:szCs w:val="22"/>
              <w:lang w:val="en-US" w:eastAsia="en-US"/>
            </w:rPr>
          </w:pPr>
          <w:hyperlink w:anchor="_Toc27405399" w:history="1">
            <w:r w:rsidR="002156A7" w:rsidRPr="003A5388">
              <w:rPr>
                <w:rStyle w:val="Hipervnculo"/>
              </w:rPr>
              <w:t>IV EXCEPCIONES PRELIMINARES</w:t>
            </w:r>
            <w:r w:rsidR="002156A7">
              <w:rPr>
                <w:webHidden/>
              </w:rPr>
              <w:tab/>
            </w:r>
            <w:r w:rsidR="002156A7">
              <w:rPr>
                <w:webHidden/>
              </w:rPr>
              <w:fldChar w:fldCharType="begin"/>
            </w:r>
            <w:r w:rsidR="002156A7">
              <w:rPr>
                <w:webHidden/>
              </w:rPr>
              <w:instrText xml:space="preserve"> PAGEREF _Toc27405399 \h </w:instrText>
            </w:r>
            <w:r w:rsidR="002156A7">
              <w:rPr>
                <w:webHidden/>
              </w:rPr>
            </w:r>
            <w:r w:rsidR="002156A7">
              <w:rPr>
                <w:webHidden/>
              </w:rPr>
              <w:fldChar w:fldCharType="separate"/>
            </w:r>
            <w:r w:rsidR="00AB5EBB">
              <w:rPr>
                <w:webHidden/>
              </w:rPr>
              <w:t>7</w:t>
            </w:r>
            <w:r w:rsidR="002156A7">
              <w:rPr>
                <w:webHidden/>
              </w:rPr>
              <w:fldChar w:fldCharType="end"/>
            </w:r>
          </w:hyperlink>
        </w:p>
        <w:p w14:paraId="36D0CCE9" w14:textId="0DE8BD28" w:rsidR="002156A7" w:rsidRDefault="00060FA6">
          <w:pPr>
            <w:pStyle w:val="TDC2"/>
            <w:rPr>
              <w:rFonts w:asciiTheme="minorHAnsi" w:eastAsiaTheme="minorEastAsia" w:hAnsiTheme="minorHAnsi" w:cstheme="minorBidi"/>
              <w:noProof/>
              <w:sz w:val="22"/>
              <w:szCs w:val="22"/>
              <w:lang w:val="en-US" w:eastAsia="en-US"/>
            </w:rPr>
          </w:pPr>
          <w:hyperlink w:anchor="_Toc27405400" w:history="1">
            <w:r w:rsidR="002156A7" w:rsidRPr="003A5388">
              <w:rPr>
                <w:rStyle w:val="Hipervnculo"/>
                <w:noProof/>
              </w:rPr>
              <w:t>A.</w:t>
            </w:r>
            <w:r w:rsidR="002156A7">
              <w:rPr>
                <w:rFonts w:asciiTheme="minorHAnsi" w:eastAsiaTheme="minorEastAsia" w:hAnsiTheme="minorHAnsi" w:cstheme="minorBidi"/>
                <w:noProof/>
                <w:sz w:val="22"/>
                <w:szCs w:val="22"/>
                <w:lang w:val="en-US" w:eastAsia="en-US"/>
              </w:rPr>
              <w:tab/>
            </w:r>
            <w:r w:rsidR="002156A7" w:rsidRPr="003A5388">
              <w:rPr>
                <w:rStyle w:val="Hipervnculo"/>
                <w:noProof/>
              </w:rPr>
              <w:t xml:space="preserve"> Insubsistencia de ciertos hechos alegados en el informe de fondo de la Comisión y en el escrito de solicitudes, argumentos y pruebas</w:t>
            </w:r>
            <w:r w:rsidR="002156A7">
              <w:rPr>
                <w:noProof/>
                <w:webHidden/>
              </w:rPr>
              <w:tab/>
            </w:r>
            <w:r w:rsidR="002156A7">
              <w:rPr>
                <w:noProof/>
                <w:webHidden/>
              </w:rPr>
              <w:fldChar w:fldCharType="begin"/>
            </w:r>
            <w:r w:rsidR="002156A7">
              <w:rPr>
                <w:noProof/>
                <w:webHidden/>
              </w:rPr>
              <w:instrText xml:space="preserve"> PAGEREF _Toc27405400 \h </w:instrText>
            </w:r>
            <w:r w:rsidR="002156A7">
              <w:rPr>
                <w:noProof/>
                <w:webHidden/>
              </w:rPr>
            </w:r>
            <w:r w:rsidR="002156A7">
              <w:rPr>
                <w:noProof/>
                <w:webHidden/>
              </w:rPr>
              <w:fldChar w:fldCharType="separate"/>
            </w:r>
            <w:r w:rsidR="00AB5EBB">
              <w:rPr>
                <w:noProof/>
                <w:webHidden/>
              </w:rPr>
              <w:t>7</w:t>
            </w:r>
            <w:r w:rsidR="002156A7">
              <w:rPr>
                <w:noProof/>
                <w:webHidden/>
              </w:rPr>
              <w:fldChar w:fldCharType="end"/>
            </w:r>
          </w:hyperlink>
        </w:p>
        <w:p w14:paraId="0351C7E9" w14:textId="7BA2B536" w:rsidR="002156A7" w:rsidRDefault="00060FA6">
          <w:pPr>
            <w:pStyle w:val="TDC3"/>
            <w:rPr>
              <w:rFonts w:asciiTheme="minorHAnsi" w:eastAsiaTheme="minorEastAsia" w:hAnsiTheme="minorHAnsi" w:cstheme="minorBidi"/>
              <w:noProof/>
              <w:sz w:val="22"/>
              <w:szCs w:val="22"/>
              <w:lang w:val="en-US" w:eastAsia="en-US"/>
            </w:rPr>
          </w:pPr>
          <w:hyperlink w:anchor="_Toc27405401" w:history="1">
            <w:r w:rsidR="002156A7" w:rsidRPr="003A5388">
              <w:rPr>
                <w:rStyle w:val="Hipervnculo"/>
                <w:noProof/>
              </w:rPr>
              <w:t>a.1 Alegatos de las partes y de la Comisión</w:t>
            </w:r>
            <w:r w:rsidR="002156A7">
              <w:rPr>
                <w:noProof/>
                <w:webHidden/>
              </w:rPr>
              <w:tab/>
            </w:r>
            <w:r w:rsidR="002156A7">
              <w:rPr>
                <w:noProof/>
                <w:webHidden/>
              </w:rPr>
              <w:fldChar w:fldCharType="begin"/>
            </w:r>
            <w:r w:rsidR="002156A7">
              <w:rPr>
                <w:noProof/>
                <w:webHidden/>
              </w:rPr>
              <w:instrText xml:space="preserve"> PAGEREF _Toc27405401 \h </w:instrText>
            </w:r>
            <w:r w:rsidR="002156A7">
              <w:rPr>
                <w:noProof/>
                <w:webHidden/>
              </w:rPr>
            </w:r>
            <w:r w:rsidR="002156A7">
              <w:rPr>
                <w:noProof/>
                <w:webHidden/>
              </w:rPr>
              <w:fldChar w:fldCharType="separate"/>
            </w:r>
            <w:r w:rsidR="00AB5EBB">
              <w:rPr>
                <w:noProof/>
                <w:webHidden/>
              </w:rPr>
              <w:t>7</w:t>
            </w:r>
            <w:r w:rsidR="002156A7">
              <w:rPr>
                <w:noProof/>
                <w:webHidden/>
              </w:rPr>
              <w:fldChar w:fldCharType="end"/>
            </w:r>
          </w:hyperlink>
        </w:p>
        <w:p w14:paraId="736EF123" w14:textId="500E288E" w:rsidR="002156A7" w:rsidRDefault="00060FA6">
          <w:pPr>
            <w:pStyle w:val="TDC3"/>
            <w:rPr>
              <w:rFonts w:asciiTheme="minorHAnsi" w:eastAsiaTheme="minorEastAsia" w:hAnsiTheme="minorHAnsi" w:cstheme="minorBidi"/>
              <w:noProof/>
              <w:sz w:val="22"/>
              <w:szCs w:val="22"/>
              <w:lang w:val="en-US" w:eastAsia="en-US"/>
            </w:rPr>
          </w:pPr>
          <w:hyperlink w:anchor="_Toc27405402" w:history="1">
            <w:r w:rsidR="002156A7" w:rsidRPr="003A5388">
              <w:rPr>
                <w:rStyle w:val="Hipervnculo"/>
                <w:noProof/>
              </w:rPr>
              <w:t>a.2 Consideraciones de la Corte</w:t>
            </w:r>
            <w:r w:rsidR="002156A7">
              <w:rPr>
                <w:noProof/>
                <w:webHidden/>
              </w:rPr>
              <w:tab/>
            </w:r>
            <w:r w:rsidR="002156A7">
              <w:rPr>
                <w:noProof/>
                <w:webHidden/>
              </w:rPr>
              <w:fldChar w:fldCharType="begin"/>
            </w:r>
            <w:r w:rsidR="002156A7">
              <w:rPr>
                <w:noProof/>
                <w:webHidden/>
              </w:rPr>
              <w:instrText xml:space="preserve"> PAGEREF _Toc27405402 \h </w:instrText>
            </w:r>
            <w:r w:rsidR="002156A7">
              <w:rPr>
                <w:noProof/>
                <w:webHidden/>
              </w:rPr>
            </w:r>
            <w:r w:rsidR="002156A7">
              <w:rPr>
                <w:noProof/>
                <w:webHidden/>
              </w:rPr>
              <w:fldChar w:fldCharType="separate"/>
            </w:r>
            <w:r w:rsidR="00AB5EBB">
              <w:rPr>
                <w:noProof/>
                <w:webHidden/>
              </w:rPr>
              <w:t>7</w:t>
            </w:r>
            <w:r w:rsidR="002156A7">
              <w:rPr>
                <w:noProof/>
                <w:webHidden/>
              </w:rPr>
              <w:fldChar w:fldCharType="end"/>
            </w:r>
          </w:hyperlink>
        </w:p>
        <w:p w14:paraId="0225AE1A" w14:textId="30BD8D5D" w:rsidR="002156A7" w:rsidRDefault="00060FA6">
          <w:pPr>
            <w:pStyle w:val="TDC2"/>
            <w:rPr>
              <w:rFonts w:asciiTheme="minorHAnsi" w:eastAsiaTheme="minorEastAsia" w:hAnsiTheme="minorHAnsi" w:cstheme="minorBidi"/>
              <w:noProof/>
              <w:sz w:val="22"/>
              <w:szCs w:val="22"/>
              <w:lang w:val="en-US" w:eastAsia="en-US"/>
            </w:rPr>
          </w:pPr>
          <w:hyperlink w:anchor="_Toc27405403" w:history="1">
            <w:r w:rsidR="002156A7" w:rsidRPr="003A5388">
              <w:rPr>
                <w:rStyle w:val="Hipervnculo"/>
                <w:noProof/>
              </w:rPr>
              <w:t>B.</w:t>
            </w:r>
            <w:r w:rsidR="002156A7">
              <w:rPr>
                <w:rFonts w:asciiTheme="minorHAnsi" w:eastAsiaTheme="minorEastAsia" w:hAnsiTheme="minorHAnsi" w:cstheme="minorBidi"/>
                <w:noProof/>
                <w:sz w:val="22"/>
                <w:szCs w:val="22"/>
                <w:lang w:val="en-US" w:eastAsia="en-US"/>
              </w:rPr>
              <w:tab/>
            </w:r>
            <w:r w:rsidR="002156A7">
              <w:rPr>
                <w:rStyle w:val="Hipervnculo"/>
                <w:noProof/>
              </w:rPr>
              <w:t xml:space="preserve"> </w:t>
            </w:r>
            <w:r w:rsidR="002156A7" w:rsidRPr="003A5388">
              <w:rPr>
                <w:rStyle w:val="Hipervnculo"/>
                <w:noProof/>
              </w:rPr>
              <w:t>Falta de agotamiento de los recursos internos</w:t>
            </w:r>
            <w:r w:rsidR="002156A7">
              <w:rPr>
                <w:noProof/>
                <w:webHidden/>
              </w:rPr>
              <w:tab/>
            </w:r>
            <w:r w:rsidR="002156A7">
              <w:rPr>
                <w:noProof/>
                <w:webHidden/>
              </w:rPr>
              <w:fldChar w:fldCharType="begin"/>
            </w:r>
            <w:r w:rsidR="002156A7">
              <w:rPr>
                <w:noProof/>
                <w:webHidden/>
              </w:rPr>
              <w:instrText xml:space="preserve"> PAGEREF _Toc27405403 \h </w:instrText>
            </w:r>
            <w:r w:rsidR="002156A7">
              <w:rPr>
                <w:noProof/>
                <w:webHidden/>
              </w:rPr>
            </w:r>
            <w:r w:rsidR="002156A7">
              <w:rPr>
                <w:noProof/>
                <w:webHidden/>
              </w:rPr>
              <w:fldChar w:fldCharType="separate"/>
            </w:r>
            <w:r w:rsidR="00AB5EBB">
              <w:rPr>
                <w:noProof/>
                <w:webHidden/>
              </w:rPr>
              <w:t>7</w:t>
            </w:r>
            <w:r w:rsidR="002156A7">
              <w:rPr>
                <w:noProof/>
                <w:webHidden/>
              </w:rPr>
              <w:fldChar w:fldCharType="end"/>
            </w:r>
          </w:hyperlink>
        </w:p>
        <w:p w14:paraId="7A94D284" w14:textId="52B19330" w:rsidR="002156A7" w:rsidRDefault="00060FA6">
          <w:pPr>
            <w:pStyle w:val="TDC3"/>
            <w:rPr>
              <w:rFonts w:asciiTheme="minorHAnsi" w:eastAsiaTheme="minorEastAsia" w:hAnsiTheme="minorHAnsi" w:cstheme="minorBidi"/>
              <w:noProof/>
              <w:sz w:val="22"/>
              <w:szCs w:val="22"/>
              <w:lang w:val="en-US" w:eastAsia="en-US"/>
            </w:rPr>
          </w:pPr>
          <w:hyperlink w:anchor="_Toc27405404" w:history="1">
            <w:r w:rsidR="002156A7" w:rsidRPr="003A5388">
              <w:rPr>
                <w:rStyle w:val="Hipervnculo"/>
                <w:noProof/>
              </w:rPr>
              <w:t>b.1 Alegatos de las partes y de la Comisión</w:t>
            </w:r>
            <w:r w:rsidR="002156A7">
              <w:rPr>
                <w:noProof/>
                <w:webHidden/>
              </w:rPr>
              <w:tab/>
            </w:r>
            <w:r w:rsidR="002156A7">
              <w:rPr>
                <w:noProof/>
                <w:webHidden/>
              </w:rPr>
              <w:fldChar w:fldCharType="begin"/>
            </w:r>
            <w:r w:rsidR="002156A7">
              <w:rPr>
                <w:noProof/>
                <w:webHidden/>
              </w:rPr>
              <w:instrText xml:space="preserve"> PAGEREF _Toc27405404 \h </w:instrText>
            </w:r>
            <w:r w:rsidR="002156A7">
              <w:rPr>
                <w:noProof/>
                <w:webHidden/>
              </w:rPr>
            </w:r>
            <w:r w:rsidR="002156A7">
              <w:rPr>
                <w:noProof/>
                <w:webHidden/>
              </w:rPr>
              <w:fldChar w:fldCharType="separate"/>
            </w:r>
            <w:r w:rsidR="00AB5EBB">
              <w:rPr>
                <w:noProof/>
                <w:webHidden/>
              </w:rPr>
              <w:t>7</w:t>
            </w:r>
            <w:r w:rsidR="002156A7">
              <w:rPr>
                <w:noProof/>
                <w:webHidden/>
              </w:rPr>
              <w:fldChar w:fldCharType="end"/>
            </w:r>
          </w:hyperlink>
        </w:p>
        <w:p w14:paraId="3A5CFF34" w14:textId="22F4316D" w:rsidR="002156A7" w:rsidRDefault="00060FA6">
          <w:pPr>
            <w:pStyle w:val="TDC3"/>
            <w:rPr>
              <w:rFonts w:asciiTheme="minorHAnsi" w:eastAsiaTheme="minorEastAsia" w:hAnsiTheme="minorHAnsi" w:cstheme="minorBidi"/>
              <w:noProof/>
              <w:sz w:val="22"/>
              <w:szCs w:val="22"/>
              <w:lang w:val="en-US" w:eastAsia="en-US"/>
            </w:rPr>
          </w:pPr>
          <w:hyperlink w:anchor="_Toc27405405" w:history="1">
            <w:r w:rsidR="002156A7" w:rsidRPr="003A5388">
              <w:rPr>
                <w:rStyle w:val="Hipervnculo"/>
                <w:noProof/>
              </w:rPr>
              <w:t>b.2 Consideraciones de la Corte</w:t>
            </w:r>
            <w:r w:rsidR="002156A7">
              <w:rPr>
                <w:noProof/>
                <w:webHidden/>
              </w:rPr>
              <w:tab/>
            </w:r>
            <w:r w:rsidR="002156A7">
              <w:rPr>
                <w:noProof/>
                <w:webHidden/>
              </w:rPr>
              <w:fldChar w:fldCharType="begin"/>
            </w:r>
            <w:r w:rsidR="002156A7">
              <w:rPr>
                <w:noProof/>
                <w:webHidden/>
              </w:rPr>
              <w:instrText xml:space="preserve"> PAGEREF _Toc27405405 \h </w:instrText>
            </w:r>
            <w:r w:rsidR="002156A7">
              <w:rPr>
                <w:noProof/>
                <w:webHidden/>
              </w:rPr>
            </w:r>
            <w:r w:rsidR="002156A7">
              <w:rPr>
                <w:noProof/>
                <w:webHidden/>
              </w:rPr>
              <w:fldChar w:fldCharType="separate"/>
            </w:r>
            <w:r w:rsidR="00AB5EBB">
              <w:rPr>
                <w:noProof/>
                <w:webHidden/>
              </w:rPr>
              <w:t>8</w:t>
            </w:r>
            <w:r w:rsidR="002156A7">
              <w:rPr>
                <w:noProof/>
                <w:webHidden/>
              </w:rPr>
              <w:fldChar w:fldCharType="end"/>
            </w:r>
          </w:hyperlink>
        </w:p>
        <w:p w14:paraId="1CB73201" w14:textId="112382AD" w:rsidR="002156A7" w:rsidRDefault="00060FA6">
          <w:pPr>
            <w:pStyle w:val="TDC2"/>
            <w:rPr>
              <w:rFonts w:asciiTheme="minorHAnsi" w:eastAsiaTheme="minorEastAsia" w:hAnsiTheme="minorHAnsi" w:cstheme="minorBidi"/>
              <w:noProof/>
              <w:sz w:val="22"/>
              <w:szCs w:val="22"/>
              <w:lang w:val="en-US" w:eastAsia="en-US"/>
            </w:rPr>
          </w:pPr>
          <w:hyperlink w:anchor="_Toc27405406" w:history="1">
            <w:r w:rsidR="002156A7" w:rsidRPr="003A5388">
              <w:rPr>
                <w:rStyle w:val="Hipervnculo"/>
                <w:noProof/>
              </w:rPr>
              <w:t>C.</w:t>
            </w:r>
            <w:r w:rsidR="002156A7">
              <w:rPr>
                <w:rFonts w:asciiTheme="minorHAnsi" w:eastAsiaTheme="minorEastAsia" w:hAnsiTheme="minorHAnsi" w:cstheme="minorBidi"/>
                <w:noProof/>
                <w:sz w:val="22"/>
                <w:szCs w:val="22"/>
                <w:lang w:val="en-US" w:eastAsia="en-US"/>
              </w:rPr>
              <w:t xml:space="preserve"> </w:t>
            </w:r>
            <w:r w:rsidR="002156A7" w:rsidRPr="003A5388">
              <w:rPr>
                <w:rStyle w:val="Hipervnculo"/>
                <w:noProof/>
              </w:rPr>
              <w:t>Alteración del objeto procesal del caso por parte de la Comisión</w:t>
            </w:r>
            <w:r w:rsidR="002156A7">
              <w:rPr>
                <w:noProof/>
                <w:webHidden/>
              </w:rPr>
              <w:tab/>
            </w:r>
            <w:r w:rsidR="002156A7">
              <w:rPr>
                <w:noProof/>
                <w:webHidden/>
              </w:rPr>
              <w:fldChar w:fldCharType="begin"/>
            </w:r>
            <w:r w:rsidR="002156A7">
              <w:rPr>
                <w:noProof/>
                <w:webHidden/>
              </w:rPr>
              <w:instrText xml:space="preserve"> PAGEREF _Toc27405406 \h </w:instrText>
            </w:r>
            <w:r w:rsidR="002156A7">
              <w:rPr>
                <w:noProof/>
                <w:webHidden/>
              </w:rPr>
            </w:r>
            <w:r w:rsidR="002156A7">
              <w:rPr>
                <w:noProof/>
                <w:webHidden/>
              </w:rPr>
              <w:fldChar w:fldCharType="separate"/>
            </w:r>
            <w:r w:rsidR="00AB5EBB">
              <w:rPr>
                <w:noProof/>
                <w:webHidden/>
              </w:rPr>
              <w:t>9</w:t>
            </w:r>
            <w:r w:rsidR="002156A7">
              <w:rPr>
                <w:noProof/>
                <w:webHidden/>
              </w:rPr>
              <w:fldChar w:fldCharType="end"/>
            </w:r>
          </w:hyperlink>
        </w:p>
        <w:p w14:paraId="3B06081C" w14:textId="5FA96DA5" w:rsidR="002156A7" w:rsidRDefault="00060FA6">
          <w:pPr>
            <w:pStyle w:val="TDC3"/>
            <w:rPr>
              <w:rFonts w:asciiTheme="minorHAnsi" w:eastAsiaTheme="minorEastAsia" w:hAnsiTheme="minorHAnsi" w:cstheme="minorBidi"/>
              <w:noProof/>
              <w:sz w:val="22"/>
              <w:szCs w:val="22"/>
              <w:lang w:val="en-US" w:eastAsia="en-US"/>
            </w:rPr>
          </w:pPr>
          <w:hyperlink w:anchor="_Toc27405407" w:history="1">
            <w:r w:rsidR="002156A7" w:rsidRPr="003A5388">
              <w:rPr>
                <w:rStyle w:val="Hipervnculo"/>
                <w:noProof/>
              </w:rPr>
              <w:t>c.1 Alegatos de las partes y de la Comisión</w:t>
            </w:r>
            <w:r w:rsidR="002156A7">
              <w:rPr>
                <w:noProof/>
                <w:webHidden/>
              </w:rPr>
              <w:tab/>
            </w:r>
            <w:r w:rsidR="002156A7">
              <w:rPr>
                <w:noProof/>
                <w:webHidden/>
              </w:rPr>
              <w:fldChar w:fldCharType="begin"/>
            </w:r>
            <w:r w:rsidR="002156A7">
              <w:rPr>
                <w:noProof/>
                <w:webHidden/>
              </w:rPr>
              <w:instrText xml:space="preserve"> PAGEREF _Toc27405407 \h </w:instrText>
            </w:r>
            <w:r w:rsidR="002156A7">
              <w:rPr>
                <w:noProof/>
                <w:webHidden/>
              </w:rPr>
            </w:r>
            <w:r w:rsidR="002156A7">
              <w:rPr>
                <w:noProof/>
                <w:webHidden/>
              </w:rPr>
              <w:fldChar w:fldCharType="separate"/>
            </w:r>
            <w:r w:rsidR="00AB5EBB">
              <w:rPr>
                <w:noProof/>
                <w:webHidden/>
              </w:rPr>
              <w:t>9</w:t>
            </w:r>
            <w:r w:rsidR="002156A7">
              <w:rPr>
                <w:noProof/>
                <w:webHidden/>
              </w:rPr>
              <w:fldChar w:fldCharType="end"/>
            </w:r>
          </w:hyperlink>
        </w:p>
        <w:p w14:paraId="7171F967" w14:textId="10831209" w:rsidR="002156A7" w:rsidRDefault="00060FA6">
          <w:pPr>
            <w:pStyle w:val="TDC3"/>
            <w:rPr>
              <w:rFonts w:asciiTheme="minorHAnsi" w:eastAsiaTheme="minorEastAsia" w:hAnsiTheme="minorHAnsi" w:cstheme="minorBidi"/>
              <w:noProof/>
              <w:sz w:val="22"/>
              <w:szCs w:val="22"/>
              <w:lang w:val="en-US" w:eastAsia="en-US"/>
            </w:rPr>
          </w:pPr>
          <w:hyperlink w:anchor="_Toc27405408" w:history="1">
            <w:r w:rsidR="002156A7" w:rsidRPr="003A5388">
              <w:rPr>
                <w:rStyle w:val="Hipervnculo"/>
                <w:noProof/>
              </w:rPr>
              <w:t>c.2 Consideraciones de la Corte</w:t>
            </w:r>
            <w:r w:rsidR="002156A7">
              <w:rPr>
                <w:noProof/>
                <w:webHidden/>
              </w:rPr>
              <w:tab/>
            </w:r>
            <w:r w:rsidR="002156A7">
              <w:rPr>
                <w:noProof/>
                <w:webHidden/>
              </w:rPr>
              <w:fldChar w:fldCharType="begin"/>
            </w:r>
            <w:r w:rsidR="002156A7">
              <w:rPr>
                <w:noProof/>
                <w:webHidden/>
              </w:rPr>
              <w:instrText xml:space="preserve"> PAGEREF _Toc27405408 \h </w:instrText>
            </w:r>
            <w:r w:rsidR="002156A7">
              <w:rPr>
                <w:noProof/>
                <w:webHidden/>
              </w:rPr>
            </w:r>
            <w:r w:rsidR="002156A7">
              <w:rPr>
                <w:noProof/>
                <w:webHidden/>
              </w:rPr>
              <w:fldChar w:fldCharType="separate"/>
            </w:r>
            <w:r w:rsidR="00AB5EBB">
              <w:rPr>
                <w:noProof/>
                <w:webHidden/>
              </w:rPr>
              <w:t>9</w:t>
            </w:r>
            <w:r w:rsidR="002156A7">
              <w:rPr>
                <w:noProof/>
                <w:webHidden/>
              </w:rPr>
              <w:fldChar w:fldCharType="end"/>
            </w:r>
          </w:hyperlink>
        </w:p>
        <w:p w14:paraId="3C79DF73" w14:textId="31022640" w:rsidR="002156A7" w:rsidRDefault="00060FA6">
          <w:pPr>
            <w:pStyle w:val="TDC2"/>
            <w:rPr>
              <w:rFonts w:asciiTheme="minorHAnsi" w:eastAsiaTheme="minorEastAsia" w:hAnsiTheme="minorHAnsi" w:cstheme="minorBidi"/>
              <w:noProof/>
              <w:sz w:val="22"/>
              <w:szCs w:val="22"/>
              <w:lang w:val="en-US" w:eastAsia="en-US"/>
            </w:rPr>
          </w:pPr>
          <w:hyperlink w:anchor="_Toc27405409" w:history="1">
            <w:r w:rsidR="002156A7" w:rsidRPr="003A5388">
              <w:rPr>
                <w:rStyle w:val="Hipervnculo"/>
                <w:noProof/>
              </w:rPr>
              <w:t>D.</w:t>
            </w:r>
            <w:r w:rsidR="002156A7">
              <w:rPr>
                <w:rFonts w:asciiTheme="minorHAnsi" w:eastAsiaTheme="minorEastAsia" w:hAnsiTheme="minorHAnsi" w:cstheme="minorBidi"/>
                <w:noProof/>
                <w:sz w:val="22"/>
                <w:szCs w:val="22"/>
                <w:lang w:val="en-US" w:eastAsia="en-US"/>
              </w:rPr>
              <w:t xml:space="preserve"> </w:t>
            </w:r>
            <w:r w:rsidR="002156A7" w:rsidRPr="003A5388">
              <w:rPr>
                <w:rStyle w:val="Hipervnculo"/>
                <w:noProof/>
              </w:rPr>
              <w:t>Falta de competencia en razón de la materia</w:t>
            </w:r>
            <w:r w:rsidR="002156A7">
              <w:rPr>
                <w:noProof/>
                <w:webHidden/>
              </w:rPr>
              <w:tab/>
            </w:r>
            <w:r w:rsidR="002156A7">
              <w:rPr>
                <w:noProof/>
                <w:webHidden/>
              </w:rPr>
              <w:fldChar w:fldCharType="begin"/>
            </w:r>
            <w:r w:rsidR="002156A7">
              <w:rPr>
                <w:noProof/>
                <w:webHidden/>
              </w:rPr>
              <w:instrText xml:space="preserve"> PAGEREF _Toc27405409 \h </w:instrText>
            </w:r>
            <w:r w:rsidR="002156A7">
              <w:rPr>
                <w:noProof/>
                <w:webHidden/>
              </w:rPr>
            </w:r>
            <w:r w:rsidR="002156A7">
              <w:rPr>
                <w:noProof/>
                <w:webHidden/>
              </w:rPr>
              <w:fldChar w:fldCharType="separate"/>
            </w:r>
            <w:r w:rsidR="00AB5EBB">
              <w:rPr>
                <w:noProof/>
                <w:webHidden/>
              </w:rPr>
              <w:t>10</w:t>
            </w:r>
            <w:r w:rsidR="002156A7">
              <w:rPr>
                <w:noProof/>
                <w:webHidden/>
              </w:rPr>
              <w:fldChar w:fldCharType="end"/>
            </w:r>
          </w:hyperlink>
        </w:p>
        <w:p w14:paraId="2A7E2282" w14:textId="2DDB73A5" w:rsidR="002156A7" w:rsidRDefault="00060FA6">
          <w:pPr>
            <w:pStyle w:val="TDC3"/>
            <w:rPr>
              <w:rFonts w:asciiTheme="minorHAnsi" w:eastAsiaTheme="minorEastAsia" w:hAnsiTheme="minorHAnsi" w:cstheme="minorBidi"/>
              <w:noProof/>
              <w:sz w:val="22"/>
              <w:szCs w:val="22"/>
              <w:lang w:val="en-US" w:eastAsia="en-US"/>
            </w:rPr>
          </w:pPr>
          <w:hyperlink w:anchor="_Toc27405410" w:history="1">
            <w:r w:rsidR="002156A7" w:rsidRPr="003A5388">
              <w:rPr>
                <w:rStyle w:val="Hipervnculo"/>
                <w:noProof/>
              </w:rPr>
              <w:t>d.1 Alegatos de las partes y de la Comisión</w:t>
            </w:r>
            <w:r w:rsidR="002156A7">
              <w:rPr>
                <w:noProof/>
                <w:webHidden/>
              </w:rPr>
              <w:tab/>
            </w:r>
            <w:r w:rsidR="002156A7">
              <w:rPr>
                <w:noProof/>
                <w:webHidden/>
              </w:rPr>
              <w:fldChar w:fldCharType="begin"/>
            </w:r>
            <w:r w:rsidR="002156A7">
              <w:rPr>
                <w:noProof/>
                <w:webHidden/>
              </w:rPr>
              <w:instrText xml:space="preserve"> PAGEREF _Toc27405410 \h </w:instrText>
            </w:r>
            <w:r w:rsidR="002156A7">
              <w:rPr>
                <w:noProof/>
                <w:webHidden/>
              </w:rPr>
            </w:r>
            <w:r w:rsidR="002156A7">
              <w:rPr>
                <w:noProof/>
                <w:webHidden/>
              </w:rPr>
              <w:fldChar w:fldCharType="separate"/>
            </w:r>
            <w:r w:rsidR="00AB5EBB">
              <w:rPr>
                <w:noProof/>
                <w:webHidden/>
              </w:rPr>
              <w:t>10</w:t>
            </w:r>
            <w:r w:rsidR="002156A7">
              <w:rPr>
                <w:noProof/>
                <w:webHidden/>
              </w:rPr>
              <w:fldChar w:fldCharType="end"/>
            </w:r>
          </w:hyperlink>
        </w:p>
        <w:p w14:paraId="43FEA600" w14:textId="5E1F5918" w:rsidR="002156A7" w:rsidRDefault="00060FA6">
          <w:pPr>
            <w:pStyle w:val="TDC3"/>
            <w:rPr>
              <w:rFonts w:asciiTheme="minorHAnsi" w:eastAsiaTheme="minorEastAsia" w:hAnsiTheme="minorHAnsi" w:cstheme="minorBidi"/>
              <w:noProof/>
              <w:sz w:val="22"/>
              <w:szCs w:val="22"/>
              <w:lang w:val="en-US" w:eastAsia="en-US"/>
            </w:rPr>
          </w:pPr>
          <w:hyperlink w:anchor="_Toc27405411" w:history="1">
            <w:r w:rsidR="002156A7" w:rsidRPr="003A5388">
              <w:rPr>
                <w:rStyle w:val="Hipervnculo"/>
                <w:noProof/>
              </w:rPr>
              <w:t>d.2 Consideraciones de la Corte</w:t>
            </w:r>
            <w:r w:rsidR="002156A7">
              <w:rPr>
                <w:noProof/>
                <w:webHidden/>
              </w:rPr>
              <w:tab/>
            </w:r>
            <w:r w:rsidR="002156A7">
              <w:rPr>
                <w:noProof/>
                <w:webHidden/>
              </w:rPr>
              <w:fldChar w:fldCharType="begin"/>
            </w:r>
            <w:r w:rsidR="002156A7">
              <w:rPr>
                <w:noProof/>
                <w:webHidden/>
              </w:rPr>
              <w:instrText xml:space="preserve"> PAGEREF _Toc27405411 \h </w:instrText>
            </w:r>
            <w:r w:rsidR="002156A7">
              <w:rPr>
                <w:noProof/>
                <w:webHidden/>
              </w:rPr>
            </w:r>
            <w:r w:rsidR="002156A7">
              <w:rPr>
                <w:noProof/>
                <w:webHidden/>
              </w:rPr>
              <w:fldChar w:fldCharType="separate"/>
            </w:r>
            <w:r w:rsidR="00AB5EBB">
              <w:rPr>
                <w:noProof/>
                <w:webHidden/>
              </w:rPr>
              <w:t>10</w:t>
            </w:r>
            <w:r w:rsidR="002156A7">
              <w:rPr>
                <w:noProof/>
                <w:webHidden/>
              </w:rPr>
              <w:fldChar w:fldCharType="end"/>
            </w:r>
          </w:hyperlink>
        </w:p>
        <w:p w14:paraId="1B332080" w14:textId="55171693" w:rsidR="002156A7" w:rsidRDefault="00060FA6">
          <w:pPr>
            <w:pStyle w:val="TDC1"/>
            <w:rPr>
              <w:rFonts w:asciiTheme="minorHAnsi" w:eastAsiaTheme="minorEastAsia" w:hAnsiTheme="minorHAnsi" w:cstheme="minorBidi"/>
              <w:b w:val="0"/>
              <w:sz w:val="22"/>
              <w:szCs w:val="22"/>
              <w:lang w:val="en-US" w:eastAsia="en-US"/>
            </w:rPr>
          </w:pPr>
          <w:hyperlink w:anchor="_Toc27405412" w:history="1">
            <w:r w:rsidR="002156A7" w:rsidRPr="003A5388">
              <w:rPr>
                <w:rStyle w:val="Hipervnculo"/>
              </w:rPr>
              <w:t>V CONSIDERACIÓN PREVIA</w:t>
            </w:r>
            <w:r w:rsidR="002156A7">
              <w:rPr>
                <w:webHidden/>
              </w:rPr>
              <w:tab/>
            </w:r>
            <w:r w:rsidR="002156A7">
              <w:rPr>
                <w:webHidden/>
              </w:rPr>
              <w:fldChar w:fldCharType="begin"/>
            </w:r>
            <w:r w:rsidR="002156A7">
              <w:rPr>
                <w:webHidden/>
              </w:rPr>
              <w:instrText xml:space="preserve"> PAGEREF _Toc27405412 \h </w:instrText>
            </w:r>
            <w:r w:rsidR="002156A7">
              <w:rPr>
                <w:webHidden/>
              </w:rPr>
            </w:r>
            <w:r w:rsidR="002156A7">
              <w:rPr>
                <w:webHidden/>
              </w:rPr>
              <w:fldChar w:fldCharType="separate"/>
            </w:r>
            <w:r w:rsidR="00AB5EBB">
              <w:rPr>
                <w:webHidden/>
              </w:rPr>
              <w:t>11</w:t>
            </w:r>
            <w:r w:rsidR="002156A7">
              <w:rPr>
                <w:webHidden/>
              </w:rPr>
              <w:fldChar w:fldCharType="end"/>
            </w:r>
          </w:hyperlink>
        </w:p>
        <w:p w14:paraId="13728174" w14:textId="6A7A48B1" w:rsidR="002156A7" w:rsidRDefault="00060FA6">
          <w:pPr>
            <w:pStyle w:val="TDC1"/>
            <w:rPr>
              <w:rFonts w:asciiTheme="minorHAnsi" w:eastAsiaTheme="minorEastAsia" w:hAnsiTheme="minorHAnsi" w:cstheme="minorBidi"/>
              <w:b w:val="0"/>
              <w:sz w:val="22"/>
              <w:szCs w:val="22"/>
              <w:lang w:val="en-US" w:eastAsia="en-US"/>
            </w:rPr>
          </w:pPr>
          <w:hyperlink w:anchor="_Toc27405413" w:history="1">
            <w:r w:rsidR="002156A7" w:rsidRPr="003A5388">
              <w:rPr>
                <w:rStyle w:val="Hipervnculo"/>
              </w:rPr>
              <w:t>VI PRUEBA</w:t>
            </w:r>
            <w:r w:rsidR="002156A7">
              <w:rPr>
                <w:webHidden/>
              </w:rPr>
              <w:tab/>
            </w:r>
            <w:r w:rsidR="002156A7">
              <w:rPr>
                <w:webHidden/>
              </w:rPr>
              <w:fldChar w:fldCharType="begin"/>
            </w:r>
            <w:r w:rsidR="002156A7">
              <w:rPr>
                <w:webHidden/>
              </w:rPr>
              <w:instrText xml:space="preserve"> PAGEREF _Toc27405413 \h </w:instrText>
            </w:r>
            <w:r w:rsidR="002156A7">
              <w:rPr>
                <w:webHidden/>
              </w:rPr>
            </w:r>
            <w:r w:rsidR="002156A7">
              <w:rPr>
                <w:webHidden/>
              </w:rPr>
              <w:fldChar w:fldCharType="separate"/>
            </w:r>
            <w:r w:rsidR="00AB5EBB">
              <w:rPr>
                <w:webHidden/>
              </w:rPr>
              <w:t>11</w:t>
            </w:r>
            <w:r w:rsidR="002156A7">
              <w:rPr>
                <w:webHidden/>
              </w:rPr>
              <w:fldChar w:fldCharType="end"/>
            </w:r>
          </w:hyperlink>
        </w:p>
        <w:p w14:paraId="2ADD0666" w14:textId="6B7F8B17" w:rsidR="002156A7" w:rsidRDefault="00060FA6">
          <w:pPr>
            <w:pStyle w:val="TDC2"/>
            <w:rPr>
              <w:rFonts w:asciiTheme="minorHAnsi" w:eastAsiaTheme="minorEastAsia" w:hAnsiTheme="minorHAnsi" w:cstheme="minorBidi"/>
              <w:noProof/>
              <w:sz w:val="22"/>
              <w:szCs w:val="22"/>
              <w:lang w:val="en-US" w:eastAsia="en-US"/>
            </w:rPr>
          </w:pPr>
          <w:hyperlink w:anchor="_Toc27405414" w:history="1">
            <w:r w:rsidR="002156A7" w:rsidRPr="003A5388">
              <w:rPr>
                <w:rStyle w:val="Hipervnculo"/>
                <w:noProof/>
              </w:rPr>
              <w:t>A.</w:t>
            </w:r>
            <w:r w:rsidR="002156A7">
              <w:rPr>
                <w:rFonts w:asciiTheme="minorHAnsi" w:eastAsiaTheme="minorEastAsia" w:hAnsiTheme="minorHAnsi" w:cstheme="minorBidi"/>
                <w:noProof/>
                <w:sz w:val="22"/>
                <w:szCs w:val="22"/>
                <w:lang w:val="en-US" w:eastAsia="en-US"/>
              </w:rPr>
              <w:tab/>
            </w:r>
            <w:r w:rsidR="002156A7" w:rsidRPr="003A5388">
              <w:rPr>
                <w:rStyle w:val="Hipervnculo"/>
                <w:noProof/>
              </w:rPr>
              <w:t xml:space="preserve"> Admisibilidad de la prueba documental</w:t>
            </w:r>
            <w:r w:rsidR="002156A7">
              <w:rPr>
                <w:noProof/>
                <w:webHidden/>
              </w:rPr>
              <w:tab/>
            </w:r>
            <w:r w:rsidR="002156A7">
              <w:rPr>
                <w:noProof/>
                <w:webHidden/>
              </w:rPr>
              <w:fldChar w:fldCharType="begin"/>
            </w:r>
            <w:r w:rsidR="002156A7">
              <w:rPr>
                <w:noProof/>
                <w:webHidden/>
              </w:rPr>
              <w:instrText xml:space="preserve"> PAGEREF _Toc27405414 \h </w:instrText>
            </w:r>
            <w:r w:rsidR="002156A7">
              <w:rPr>
                <w:noProof/>
                <w:webHidden/>
              </w:rPr>
            </w:r>
            <w:r w:rsidR="002156A7">
              <w:rPr>
                <w:noProof/>
                <w:webHidden/>
              </w:rPr>
              <w:fldChar w:fldCharType="separate"/>
            </w:r>
            <w:r w:rsidR="00AB5EBB">
              <w:rPr>
                <w:noProof/>
                <w:webHidden/>
              </w:rPr>
              <w:t>11</w:t>
            </w:r>
            <w:r w:rsidR="002156A7">
              <w:rPr>
                <w:noProof/>
                <w:webHidden/>
              </w:rPr>
              <w:fldChar w:fldCharType="end"/>
            </w:r>
          </w:hyperlink>
        </w:p>
        <w:p w14:paraId="7C4B46ED" w14:textId="24DC62F1" w:rsidR="002156A7" w:rsidRDefault="00060FA6">
          <w:pPr>
            <w:pStyle w:val="TDC2"/>
            <w:rPr>
              <w:rFonts w:asciiTheme="minorHAnsi" w:eastAsiaTheme="minorEastAsia" w:hAnsiTheme="minorHAnsi" w:cstheme="minorBidi"/>
              <w:noProof/>
              <w:sz w:val="22"/>
              <w:szCs w:val="22"/>
              <w:lang w:val="en-US" w:eastAsia="en-US"/>
            </w:rPr>
          </w:pPr>
          <w:hyperlink w:anchor="_Toc27405415" w:history="1">
            <w:r w:rsidR="002156A7" w:rsidRPr="003A5388">
              <w:rPr>
                <w:rStyle w:val="Hipervnculo"/>
                <w:noProof/>
              </w:rPr>
              <w:t>B.</w:t>
            </w:r>
            <w:r w:rsidR="002156A7">
              <w:rPr>
                <w:rFonts w:asciiTheme="minorHAnsi" w:eastAsiaTheme="minorEastAsia" w:hAnsiTheme="minorHAnsi" w:cstheme="minorBidi"/>
                <w:noProof/>
                <w:sz w:val="22"/>
                <w:szCs w:val="22"/>
                <w:lang w:val="en-US" w:eastAsia="en-US"/>
              </w:rPr>
              <w:tab/>
            </w:r>
            <w:r w:rsidR="002156A7" w:rsidRPr="003A5388">
              <w:rPr>
                <w:rStyle w:val="Hipervnculo"/>
                <w:noProof/>
              </w:rPr>
              <w:t xml:space="preserve"> Admisibilidad de la prueba testimonial y pericial</w:t>
            </w:r>
            <w:r w:rsidR="002156A7">
              <w:rPr>
                <w:noProof/>
                <w:webHidden/>
              </w:rPr>
              <w:tab/>
            </w:r>
            <w:r w:rsidR="002156A7">
              <w:rPr>
                <w:noProof/>
                <w:webHidden/>
              </w:rPr>
              <w:fldChar w:fldCharType="begin"/>
            </w:r>
            <w:r w:rsidR="002156A7">
              <w:rPr>
                <w:noProof/>
                <w:webHidden/>
              </w:rPr>
              <w:instrText xml:space="preserve"> PAGEREF _Toc27405415 \h </w:instrText>
            </w:r>
            <w:r w:rsidR="002156A7">
              <w:rPr>
                <w:noProof/>
                <w:webHidden/>
              </w:rPr>
            </w:r>
            <w:r w:rsidR="002156A7">
              <w:rPr>
                <w:noProof/>
                <w:webHidden/>
              </w:rPr>
              <w:fldChar w:fldCharType="separate"/>
            </w:r>
            <w:r w:rsidR="00AB5EBB">
              <w:rPr>
                <w:noProof/>
                <w:webHidden/>
              </w:rPr>
              <w:t>12</w:t>
            </w:r>
            <w:r w:rsidR="002156A7">
              <w:rPr>
                <w:noProof/>
                <w:webHidden/>
              </w:rPr>
              <w:fldChar w:fldCharType="end"/>
            </w:r>
          </w:hyperlink>
        </w:p>
        <w:p w14:paraId="6EECE410" w14:textId="01EA3269" w:rsidR="002156A7" w:rsidRDefault="00060FA6">
          <w:pPr>
            <w:pStyle w:val="TDC1"/>
            <w:rPr>
              <w:rFonts w:asciiTheme="minorHAnsi" w:eastAsiaTheme="minorEastAsia" w:hAnsiTheme="minorHAnsi" w:cstheme="minorBidi"/>
              <w:b w:val="0"/>
              <w:sz w:val="22"/>
              <w:szCs w:val="22"/>
              <w:lang w:val="en-US" w:eastAsia="en-US"/>
            </w:rPr>
          </w:pPr>
          <w:hyperlink w:anchor="_Toc27405416" w:history="1">
            <w:r w:rsidR="002156A7" w:rsidRPr="003A5388">
              <w:rPr>
                <w:rStyle w:val="Hipervnculo"/>
              </w:rPr>
              <w:t>VII HECHOS</w:t>
            </w:r>
            <w:r w:rsidR="002156A7">
              <w:rPr>
                <w:webHidden/>
              </w:rPr>
              <w:tab/>
            </w:r>
            <w:r w:rsidR="002156A7">
              <w:rPr>
                <w:webHidden/>
              </w:rPr>
              <w:fldChar w:fldCharType="begin"/>
            </w:r>
            <w:r w:rsidR="002156A7">
              <w:rPr>
                <w:webHidden/>
              </w:rPr>
              <w:instrText xml:space="preserve"> PAGEREF _Toc27405416 \h </w:instrText>
            </w:r>
            <w:r w:rsidR="002156A7">
              <w:rPr>
                <w:webHidden/>
              </w:rPr>
            </w:r>
            <w:r w:rsidR="002156A7">
              <w:rPr>
                <w:webHidden/>
              </w:rPr>
              <w:fldChar w:fldCharType="separate"/>
            </w:r>
            <w:r w:rsidR="00AB5EBB">
              <w:rPr>
                <w:webHidden/>
              </w:rPr>
              <w:t>12</w:t>
            </w:r>
            <w:r w:rsidR="002156A7">
              <w:rPr>
                <w:webHidden/>
              </w:rPr>
              <w:fldChar w:fldCharType="end"/>
            </w:r>
          </w:hyperlink>
        </w:p>
        <w:p w14:paraId="10F61E4B" w14:textId="65397DDA" w:rsidR="002156A7" w:rsidRDefault="00060FA6">
          <w:pPr>
            <w:pStyle w:val="TDC2"/>
            <w:rPr>
              <w:rFonts w:asciiTheme="minorHAnsi" w:eastAsiaTheme="minorEastAsia" w:hAnsiTheme="minorHAnsi" w:cstheme="minorBidi"/>
              <w:noProof/>
              <w:sz w:val="22"/>
              <w:szCs w:val="22"/>
              <w:lang w:val="en-US" w:eastAsia="en-US"/>
            </w:rPr>
          </w:pPr>
          <w:hyperlink w:anchor="_Toc27405417" w:history="1">
            <w:r w:rsidR="002156A7" w:rsidRPr="003A5388">
              <w:rPr>
                <w:rStyle w:val="Hipervnculo"/>
                <w:noProof/>
              </w:rPr>
              <w:t>A.</w:t>
            </w:r>
            <w:r w:rsidR="002156A7">
              <w:rPr>
                <w:rFonts w:asciiTheme="minorHAnsi" w:eastAsiaTheme="minorEastAsia" w:hAnsiTheme="minorHAnsi" w:cstheme="minorBidi"/>
                <w:noProof/>
                <w:sz w:val="22"/>
                <w:szCs w:val="22"/>
                <w:lang w:val="en-US" w:eastAsia="en-US"/>
              </w:rPr>
              <w:tab/>
              <w:t xml:space="preserve"> </w:t>
            </w:r>
            <w:r w:rsidR="002156A7" w:rsidRPr="003A5388">
              <w:rPr>
                <w:rStyle w:val="Hipervnculo"/>
                <w:noProof/>
              </w:rPr>
              <w:t>Detención, prisión preventiva y proceso penal seguido contra el señor Jenkins</w:t>
            </w:r>
            <w:r w:rsidR="002156A7">
              <w:rPr>
                <w:noProof/>
                <w:webHidden/>
              </w:rPr>
              <w:tab/>
            </w:r>
            <w:r w:rsidR="002156A7">
              <w:rPr>
                <w:noProof/>
                <w:webHidden/>
              </w:rPr>
              <w:fldChar w:fldCharType="begin"/>
            </w:r>
            <w:r w:rsidR="002156A7">
              <w:rPr>
                <w:noProof/>
                <w:webHidden/>
              </w:rPr>
              <w:instrText xml:space="preserve"> PAGEREF _Toc27405417 \h </w:instrText>
            </w:r>
            <w:r w:rsidR="002156A7">
              <w:rPr>
                <w:noProof/>
                <w:webHidden/>
              </w:rPr>
            </w:r>
            <w:r w:rsidR="002156A7">
              <w:rPr>
                <w:noProof/>
                <w:webHidden/>
              </w:rPr>
              <w:fldChar w:fldCharType="separate"/>
            </w:r>
            <w:r w:rsidR="00AB5EBB">
              <w:rPr>
                <w:noProof/>
                <w:webHidden/>
              </w:rPr>
              <w:t>12</w:t>
            </w:r>
            <w:r w:rsidR="002156A7">
              <w:rPr>
                <w:noProof/>
                <w:webHidden/>
              </w:rPr>
              <w:fldChar w:fldCharType="end"/>
            </w:r>
          </w:hyperlink>
        </w:p>
        <w:p w14:paraId="4CF4ED0D" w14:textId="6FA128D0" w:rsidR="002156A7" w:rsidRDefault="00060FA6">
          <w:pPr>
            <w:pStyle w:val="TDC3"/>
            <w:rPr>
              <w:rFonts w:asciiTheme="minorHAnsi" w:eastAsiaTheme="minorEastAsia" w:hAnsiTheme="minorHAnsi" w:cstheme="minorBidi"/>
              <w:noProof/>
              <w:sz w:val="22"/>
              <w:szCs w:val="22"/>
              <w:lang w:val="en-US" w:eastAsia="en-US"/>
            </w:rPr>
          </w:pPr>
          <w:hyperlink w:anchor="_Toc27405418" w:history="1">
            <w:r w:rsidR="002156A7" w:rsidRPr="003A5388">
              <w:rPr>
                <w:rStyle w:val="Hipervnculo"/>
                <w:noProof/>
              </w:rPr>
              <w:t>a.1 Detención del señor Jenkins</w:t>
            </w:r>
            <w:r w:rsidR="002156A7">
              <w:rPr>
                <w:noProof/>
                <w:webHidden/>
              </w:rPr>
              <w:tab/>
            </w:r>
            <w:r w:rsidR="002156A7">
              <w:rPr>
                <w:noProof/>
                <w:webHidden/>
              </w:rPr>
              <w:fldChar w:fldCharType="begin"/>
            </w:r>
            <w:r w:rsidR="002156A7">
              <w:rPr>
                <w:noProof/>
                <w:webHidden/>
              </w:rPr>
              <w:instrText xml:space="preserve"> PAGEREF _Toc27405418 \h </w:instrText>
            </w:r>
            <w:r w:rsidR="002156A7">
              <w:rPr>
                <w:noProof/>
                <w:webHidden/>
              </w:rPr>
            </w:r>
            <w:r w:rsidR="002156A7">
              <w:rPr>
                <w:noProof/>
                <w:webHidden/>
              </w:rPr>
              <w:fldChar w:fldCharType="separate"/>
            </w:r>
            <w:r w:rsidR="00AB5EBB">
              <w:rPr>
                <w:noProof/>
                <w:webHidden/>
              </w:rPr>
              <w:t>12</w:t>
            </w:r>
            <w:r w:rsidR="002156A7">
              <w:rPr>
                <w:noProof/>
                <w:webHidden/>
              </w:rPr>
              <w:fldChar w:fldCharType="end"/>
            </w:r>
          </w:hyperlink>
        </w:p>
        <w:p w14:paraId="6B36E256" w14:textId="7D04E1D9" w:rsidR="002156A7" w:rsidRDefault="00060FA6">
          <w:pPr>
            <w:pStyle w:val="TDC3"/>
            <w:rPr>
              <w:rFonts w:asciiTheme="minorHAnsi" w:eastAsiaTheme="minorEastAsia" w:hAnsiTheme="minorHAnsi" w:cstheme="minorBidi"/>
              <w:noProof/>
              <w:sz w:val="22"/>
              <w:szCs w:val="22"/>
              <w:lang w:val="en-US" w:eastAsia="en-US"/>
            </w:rPr>
          </w:pPr>
          <w:hyperlink w:anchor="_Toc27405419" w:history="1">
            <w:r w:rsidR="002156A7" w:rsidRPr="003A5388">
              <w:rPr>
                <w:rStyle w:val="Hipervnculo"/>
                <w:noProof/>
              </w:rPr>
              <w:t>a.2 Recursos interpuestos contra la prisión</w:t>
            </w:r>
            <w:r w:rsidR="002156A7">
              <w:rPr>
                <w:noProof/>
                <w:webHidden/>
              </w:rPr>
              <w:tab/>
            </w:r>
            <w:r w:rsidR="002156A7">
              <w:rPr>
                <w:noProof/>
                <w:webHidden/>
              </w:rPr>
              <w:fldChar w:fldCharType="begin"/>
            </w:r>
            <w:r w:rsidR="002156A7">
              <w:rPr>
                <w:noProof/>
                <w:webHidden/>
              </w:rPr>
              <w:instrText xml:space="preserve"> PAGEREF _Toc27405419 \h </w:instrText>
            </w:r>
            <w:r w:rsidR="002156A7">
              <w:rPr>
                <w:noProof/>
                <w:webHidden/>
              </w:rPr>
            </w:r>
            <w:r w:rsidR="002156A7">
              <w:rPr>
                <w:noProof/>
                <w:webHidden/>
              </w:rPr>
              <w:fldChar w:fldCharType="separate"/>
            </w:r>
            <w:r w:rsidR="00AB5EBB">
              <w:rPr>
                <w:noProof/>
                <w:webHidden/>
              </w:rPr>
              <w:t>13</w:t>
            </w:r>
            <w:r w:rsidR="002156A7">
              <w:rPr>
                <w:noProof/>
                <w:webHidden/>
              </w:rPr>
              <w:fldChar w:fldCharType="end"/>
            </w:r>
          </w:hyperlink>
        </w:p>
        <w:p w14:paraId="3395FC8C" w14:textId="5E21C6C5" w:rsidR="002156A7" w:rsidRDefault="00060FA6">
          <w:pPr>
            <w:pStyle w:val="TDC3"/>
            <w:rPr>
              <w:rFonts w:asciiTheme="minorHAnsi" w:eastAsiaTheme="minorEastAsia" w:hAnsiTheme="minorHAnsi" w:cstheme="minorBidi"/>
              <w:noProof/>
              <w:sz w:val="22"/>
              <w:szCs w:val="22"/>
              <w:lang w:val="en-US" w:eastAsia="en-US"/>
            </w:rPr>
          </w:pPr>
          <w:hyperlink w:anchor="_Toc27405420" w:history="1">
            <w:r w:rsidR="002156A7" w:rsidRPr="003A5388">
              <w:rPr>
                <w:rStyle w:val="Hipervnculo"/>
                <w:noProof/>
              </w:rPr>
              <w:t>a.3 Absolución del señor Jenkins</w:t>
            </w:r>
            <w:r w:rsidR="002156A7">
              <w:rPr>
                <w:noProof/>
                <w:webHidden/>
              </w:rPr>
              <w:tab/>
            </w:r>
            <w:r w:rsidR="002156A7">
              <w:rPr>
                <w:noProof/>
                <w:webHidden/>
              </w:rPr>
              <w:fldChar w:fldCharType="begin"/>
            </w:r>
            <w:r w:rsidR="002156A7">
              <w:rPr>
                <w:noProof/>
                <w:webHidden/>
              </w:rPr>
              <w:instrText xml:space="preserve"> PAGEREF _Toc27405420 \h </w:instrText>
            </w:r>
            <w:r w:rsidR="002156A7">
              <w:rPr>
                <w:noProof/>
                <w:webHidden/>
              </w:rPr>
            </w:r>
            <w:r w:rsidR="002156A7">
              <w:rPr>
                <w:noProof/>
                <w:webHidden/>
              </w:rPr>
              <w:fldChar w:fldCharType="separate"/>
            </w:r>
            <w:r w:rsidR="00AB5EBB">
              <w:rPr>
                <w:noProof/>
                <w:webHidden/>
              </w:rPr>
              <w:t>15</w:t>
            </w:r>
            <w:r w:rsidR="002156A7">
              <w:rPr>
                <w:noProof/>
                <w:webHidden/>
              </w:rPr>
              <w:fldChar w:fldCharType="end"/>
            </w:r>
          </w:hyperlink>
        </w:p>
        <w:p w14:paraId="1C0651B7" w14:textId="599A4EEC" w:rsidR="002156A7" w:rsidRDefault="00060FA6">
          <w:pPr>
            <w:pStyle w:val="TDC3"/>
            <w:rPr>
              <w:rFonts w:asciiTheme="minorHAnsi" w:eastAsiaTheme="minorEastAsia" w:hAnsiTheme="minorHAnsi" w:cstheme="minorBidi"/>
              <w:noProof/>
              <w:sz w:val="22"/>
              <w:szCs w:val="22"/>
              <w:lang w:val="en-US" w:eastAsia="en-US"/>
            </w:rPr>
          </w:pPr>
          <w:hyperlink w:anchor="_Toc27405421" w:history="1">
            <w:r w:rsidR="002156A7" w:rsidRPr="003A5388">
              <w:rPr>
                <w:rStyle w:val="Hipervnculo"/>
                <w:noProof/>
              </w:rPr>
              <w:t>a.4 Sentencia de 15 de junio de 2010 de la Corte Suprema de Justicia</w:t>
            </w:r>
            <w:r w:rsidR="002156A7">
              <w:rPr>
                <w:noProof/>
                <w:webHidden/>
              </w:rPr>
              <w:tab/>
            </w:r>
            <w:r w:rsidR="002156A7">
              <w:rPr>
                <w:noProof/>
                <w:webHidden/>
              </w:rPr>
              <w:fldChar w:fldCharType="begin"/>
            </w:r>
            <w:r w:rsidR="002156A7">
              <w:rPr>
                <w:noProof/>
                <w:webHidden/>
              </w:rPr>
              <w:instrText xml:space="preserve"> PAGEREF _Toc27405421 \h </w:instrText>
            </w:r>
            <w:r w:rsidR="002156A7">
              <w:rPr>
                <w:noProof/>
                <w:webHidden/>
              </w:rPr>
            </w:r>
            <w:r w:rsidR="002156A7">
              <w:rPr>
                <w:noProof/>
                <w:webHidden/>
              </w:rPr>
              <w:fldChar w:fldCharType="separate"/>
            </w:r>
            <w:r w:rsidR="00AB5EBB">
              <w:rPr>
                <w:noProof/>
                <w:webHidden/>
              </w:rPr>
              <w:t>15</w:t>
            </w:r>
            <w:r w:rsidR="002156A7">
              <w:rPr>
                <w:noProof/>
                <w:webHidden/>
              </w:rPr>
              <w:fldChar w:fldCharType="end"/>
            </w:r>
          </w:hyperlink>
        </w:p>
        <w:p w14:paraId="39799E91" w14:textId="1AAAFC4B" w:rsidR="002156A7" w:rsidRDefault="00060FA6">
          <w:pPr>
            <w:pStyle w:val="TDC2"/>
            <w:rPr>
              <w:rFonts w:asciiTheme="minorHAnsi" w:eastAsiaTheme="minorEastAsia" w:hAnsiTheme="minorHAnsi" w:cstheme="minorBidi"/>
              <w:noProof/>
              <w:sz w:val="22"/>
              <w:szCs w:val="22"/>
              <w:lang w:val="en-US" w:eastAsia="en-US"/>
            </w:rPr>
          </w:pPr>
          <w:hyperlink w:anchor="_Toc27405422" w:history="1">
            <w:r w:rsidR="002156A7" w:rsidRPr="003A5388">
              <w:rPr>
                <w:rStyle w:val="Hipervnculo"/>
                <w:noProof/>
              </w:rPr>
              <w:t>B.</w:t>
            </w:r>
            <w:r w:rsidR="002156A7">
              <w:rPr>
                <w:rFonts w:asciiTheme="minorHAnsi" w:eastAsiaTheme="minorEastAsia" w:hAnsiTheme="minorHAnsi" w:cstheme="minorBidi"/>
                <w:noProof/>
                <w:sz w:val="22"/>
                <w:szCs w:val="22"/>
                <w:lang w:val="en-US" w:eastAsia="en-US"/>
              </w:rPr>
              <w:tab/>
              <w:t xml:space="preserve"> </w:t>
            </w:r>
            <w:r w:rsidR="002156A7" w:rsidRPr="003A5388">
              <w:rPr>
                <w:rStyle w:val="Hipervnculo"/>
                <w:noProof/>
              </w:rPr>
              <w:t>El proceso de acción civil de daños y perjuicios promovido por el señor Jenkins</w:t>
            </w:r>
            <w:r w:rsidR="002156A7">
              <w:rPr>
                <w:noProof/>
                <w:webHidden/>
              </w:rPr>
              <w:tab/>
            </w:r>
            <w:r w:rsidR="002156A7">
              <w:rPr>
                <w:noProof/>
                <w:webHidden/>
              </w:rPr>
              <w:fldChar w:fldCharType="begin"/>
            </w:r>
            <w:r w:rsidR="002156A7">
              <w:rPr>
                <w:noProof/>
                <w:webHidden/>
              </w:rPr>
              <w:instrText xml:space="preserve"> PAGEREF _Toc27405422 \h </w:instrText>
            </w:r>
            <w:r w:rsidR="002156A7">
              <w:rPr>
                <w:noProof/>
                <w:webHidden/>
              </w:rPr>
            </w:r>
            <w:r w:rsidR="002156A7">
              <w:rPr>
                <w:noProof/>
                <w:webHidden/>
              </w:rPr>
              <w:fldChar w:fldCharType="separate"/>
            </w:r>
            <w:r w:rsidR="00AB5EBB">
              <w:rPr>
                <w:noProof/>
                <w:webHidden/>
              </w:rPr>
              <w:t>16</w:t>
            </w:r>
            <w:r w:rsidR="002156A7">
              <w:rPr>
                <w:noProof/>
                <w:webHidden/>
              </w:rPr>
              <w:fldChar w:fldCharType="end"/>
            </w:r>
          </w:hyperlink>
        </w:p>
        <w:p w14:paraId="09C4E64A" w14:textId="33811774" w:rsidR="002156A7" w:rsidRDefault="00060FA6">
          <w:pPr>
            <w:pStyle w:val="TDC3"/>
            <w:rPr>
              <w:rFonts w:asciiTheme="minorHAnsi" w:eastAsiaTheme="minorEastAsia" w:hAnsiTheme="minorHAnsi" w:cstheme="minorBidi"/>
              <w:noProof/>
              <w:sz w:val="22"/>
              <w:szCs w:val="22"/>
              <w:lang w:val="en-US" w:eastAsia="en-US"/>
            </w:rPr>
          </w:pPr>
          <w:hyperlink w:anchor="_Toc27405423" w:history="1">
            <w:r w:rsidR="002156A7" w:rsidRPr="003A5388">
              <w:rPr>
                <w:rStyle w:val="Hipervnculo"/>
                <w:noProof/>
              </w:rPr>
              <w:t>b.1 Acción por daños y perjuicios</w:t>
            </w:r>
            <w:r w:rsidR="002156A7">
              <w:rPr>
                <w:noProof/>
                <w:webHidden/>
              </w:rPr>
              <w:tab/>
            </w:r>
            <w:r w:rsidR="002156A7">
              <w:rPr>
                <w:noProof/>
                <w:webHidden/>
              </w:rPr>
              <w:fldChar w:fldCharType="begin"/>
            </w:r>
            <w:r w:rsidR="002156A7">
              <w:rPr>
                <w:noProof/>
                <w:webHidden/>
              </w:rPr>
              <w:instrText xml:space="preserve"> PAGEREF _Toc27405423 \h </w:instrText>
            </w:r>
            <w:r w:rsidR="002156A7">
              <w:rPr>
                <w:noProof/>
                <w:webHidden/>
              </w:rPr>
            </w:r>
            <w:r w:rsidR="002156A7">
              <w:rPr>
                <w:noProof/>
                <w:webHidden/>
              </w:rPr>
              <w:fldChar w:fldCharType="separate"/>
            </w:r>
            <w:r w:rsidR="00AB5EBB">
              <w:rPr>
                <w:noProof/>
                <w:webHidden/>
              </w:rPr>
              <w:t>16</w:t>
            </w:r>
            <w:r w:rsidR="002156A7">
              <w:rPr>
                <w:noProof/>
                <w:webHidden/>
              </w:rPr>
              <w:fldChar w:fldCharType="end"/>
            </w:r>
          </w:hyperlink>
        </w:p>
        <w:p w14:paraId="61C34E8B" w14:textId="589C547C" w:rsidR="002156A7" w:rsidRDefault="00060FA6">
          <w:pPr>
            <w:pStyle w:val="TDC3"/>
            <w:rPr>
              <w:rFonts w:asciiTheme="minorHAnsi" w:eastAsiaTheme="minorEastAsia" w:hAnsiTheme="minorHAnsi" w:cstheme="minorBidi"/>
              <w:noProof/>
              <w:sz w:val="22"/>
              <w:szCs w:val="22"/>
              <w:lang w:val="en-US" w:eastAsia="en-US"/>
            </w:rPr>
          </w:pPr>
          <w:hyperlink w:anchor="_Toc27405424" w:history="1">
            <w:r w:rsidR="002156A7" w:rsidRPr="003A5388">
              <w:rPr>
                <w:rStyle w:val="Hipervnculo"/>
                <w:noProof/>
              </w:rPr>
              <w:t>b.2 Recurso de apelación, decisión de segunda instancia y recurso de queja</w:t>
            </w:r>
            <w:r w:rsidR="002156A7">
              <w:rPr>
                <w:noProof/>
                <w:webHidden/>
              </w:rPr>
              <w:tab/>
            </w:r>
            <w:r w:rsidR="002156A7">
              <w:rPr>
                <w:noProof/>
                <w:webHidden/>
              </w:rPr>
              <w:fldChar w:fldCharType="begin"/>
            </w:r>
            <w:r w:rsidR="002156A7">
              <w:rPr>
                <w:noProof/>
                <w:webHidden/>
              </w:rPr>
              <w:instrText xml:space="preserve"> PAGEREF _Toc27405424 \h </w:instrText>
            </w:r>
            <w:r w:rsidR="002156A7">
              <w:rPr>
                <w:noProof/>
                <w:webHidden/>
              </w:rPr>
            </w:r>
            <w:r w:rsidR="002156A7">
              <w:rPr>
                <w:noProof/>
                <w:webHidden/>
              </w:rPr>
              <w:fldChar w:fldCharType="separate"/>
            </w:r>
            <w:r w:rsidR="00AB5EBB">
              <w:rPr>
                <w:noProof/>
                <w:webHidden/>
              </w:rPr>
              <w:t>16</w:t>
            </w:r>
            <w:r w:rsidR="002156A7">
              <w:rPr>
                <w:noProof/>
                <w:webHidden/>
              </w:rPr>
              <w:fldChar w:fldCharType="end"/>
            </w:r>
          </w:hyperlink>
        </w:p>
        <w:p w14:paraId="1CA9040A" w14:textId="4A92AA69" w:rsidR="002156A7" w:rsidRDefault="00060FA6">
          <w:pPr>
            <w:pStyle w:val="TDC1"/>
            <w:rPr>
              <w:rFonts w:asciiTheme="minorHAnsi" w:eastAsiaTheme="minorEastAsia" w:hAnsiTheme="minorHAnsi" w:cstheme="minorBidi"/>
              <w:b w:val="0"/>
              <w:sz w:val="22"/>
              <w:szCs w:val="22"/>
              <w:lang w:val="en-US" w:eastAsia="en-US"/>
            </w:rPr>
          </w:pPr>
          <w:hyperlink w:anchor="_Toc27405425" w:history="1">
            <w:r w:rsidR="002156A7" w:rsidRPr="003A5388">
              <w:rPr>
                <w:rStyle w:val="Hipervnculo"/>
              </w:rPr>
              <w:t>VIII FONDO</w:t>
            </w:r>
            <w:r w:rsidR="002156A7">
              <w:rPr>
                <w:webHidden/>
              </w:rPr>
              <w:tab/>
            </w:r>
            <w:r w:rsidR="002156A7">
              <w:rPr>
                <w:webHidden/>
              </w:rPr>
              <w:fldChar w:fldCharType="begin"/>
            </w:r>
            <w:r w:rsidR="002156A7">
              <w:rPr>
                <w:webHidden/>
              </w:rPr>
              <w:instrText xml:space="preserve"> PAGEREF _Toc27405425 \h </w:instrText>
            </w:r>
            <w:r w:rsidR="002156A7">
              <w:rPr>
                <w:webHidden/>
              </w:rPr>
            </w:r>
            <w:r w:rsidR="002156A7">
              <w:rPr>
                <w:webHidden/>
              </w:rPr>
              <w:fldChar w:fldCharType="separate"/>
            </w:r>
            <w:r w:rsidR="00AB5EBB">
              <w:rPr>
                <w:webHidden/>
              </w:rPr>
              <w:t>17</w:t>
            </w:r>
            <w:r w:rsidR="002156A7">
              <w:rPr>
                <w:webHidden/>
              </w:rPr>
              <w:fldChar w:fldCharType="end"/>
            </w:r>
          </w:hyperlink>
        </w:p>
        <w:p w14:paraId="1B0CA96F" w14:textId="5D06027C" w:rsidR="002156A7" w:rsidRDefault="00060FA6">
          <w:pPr>
            <w:pStyle w:val="TDC1"/>
            <w:rPr>
              <w:rFonts w:asciiTheme="minorHAnsi" w:eastAsiaTheme="minorEastAsia" w:hAnsiTheme="minorHAnsi" w:cstheme="minorBidi"/>
              <w:b w:val="0"/>
              <w:sz w:val="22"/>
              <w:szCs w:val="22"/>
              <w:lang w:val="en-US" w:eastAsia="en-US"/>
            </w:rPr>
          </w:pPr>
          <w:hyperlink w:anchor="_Toc27405426" w:history="1">
            <w:r w:rsidR="002156A7" w:rsidRPr="003A5388">
              <w:rPr>
                <w:rStyle w:val="Hipervnculo"/>
              </w:rPr>
              <w:t>VIII-1 DERECHO A LA LIBERTAD PERSONAL Y A LAS GARANTÍAS JUDICIALES</w:t>
            </w:r>
            <w:r w:rsidR="002156A7">
              <w:rPr>
                <w:webHidden/>
              </w:rPr>
              <w:tab/>
            </w:r>
            <w:r w:rsidR="002156A7">
              <w:rPr>
                <w:webHidden/>
              </w:rPr>
              <w:fldChar w:fldCharType="begin"/>
            </w:r>
            <w:r w:rsidR="002156A7">
              <w:rPr>
                <w:webHidden/>
              </w:rPr>
              <w:instrText xml:space="preserve"> PAGEREF _Toc27405426 \h </w:instrText>
            </w:r>
            <w:r w:rsidR="002156A7">
              <w:rPr>
                <w:webHidden/>
              </w:rPr>
            </w:r>
            <w:r w:rsidR="002156A7">
              <w:rPr>
                <w:webHidden/>
              </w:rPr>
              <w:fldChar w:fldCharType="separate"/>
            </w:r>
            <w:r w:rsidR="00AB5EBB">
              <w:rPr>
                <w:webHidden/>
              </w:rPr>
              <w:t>17</w:t>
            </w:r>
            <w:r w:rsidR="002156A7">
              <w:rPr>
                <w:webHidden/>
              </w:rPr>
              <w:fldChar w:fldCharType="end"/>
            </w:r>
          </w:hyperlink>
        </w:p>
        <w:p w14:paraId="4FCCCAD5" w14:textId="179DD873" w:rsidR="002156A7" w:rsidRDefault="00060FA6">
          <w:pPr>
            <w:pStyle w:val="TDC2"/>
            <w:rPr>
              <w:rFonts w:asciiTheme="minorHAnsi" w:eastAsiaTheme="minorEastAsia" w:hAnsiTheme="minorHAnsi" w:cstheme="minorBidi"/>
              <w:noProof/>
              <w:sz w:val="22"/>
              <w:szCs w:val="22"/>
              <w:lang w:val="en-US" w:eastAsia="en-US"/>
            </w:rPr>
          </w:pPr>
          <w:hyperlink w:anchor="_Toc27405427" w:history="1">
            <w:r w:rsidR="002156A7" w:rsidRPr="003A5388">
              <w:rPr>
                <w:rStyle w:val="Hipervnculo"/>
                <w:noProof/>
              </w:rPr>
              <w:t>A.</w:t>
            </w:r>
            <w:r w:rsidR="002156A7">
              <w:rPr>
                <w:rFonts w:asciiTheme="minorHAnsi" w:eastAsiaTheme="minorEastAsia" w:hAnsiTheme="minorHAnsi" w:cstheme="minorBidi"/>
                <w:noProof/>
                <w:sz w:val="22"/>
                <w:szCs w:val="22"/>
                <w:lang w:val="en-US" w:eastAsia="en-US"/>
              </w:rPr>
              <w:tab/>
            </w:r>
            <w:r w:rsidR="002156A7" w:rsidRPr="003A5388">
              <w:rPr>
                <w:rStyle w:val="Hipervnculo"/>
                <w:noProof/>
              </w:rPr>
              <w:t xml:space="preserve"> Argumentos de las partes y de la Comisión</w:t>
            </w:r>
            <w:r w:rsidR="002156A7">
              <w:rPr>
                <w:noProof/>
                <w:webHidden/>
              </w:rPr>
              <w:tab/>
            </w:r>
            <w:r w:rsidR="002156A7">
              <w:rPr>
                <w:noProof/>
                <w:webHidden/>
              </w:rPr>
              <w:fldChar w:fldCharType="begin"/>
            </w:r>
            <w:r w:rsidR="002156A7">
              <w:rPr>
                <w:noProof/>
                <w:webHidden/>
              </w:rPr>
              <w:instrText xml:space="preserve"> PAGEREF _Toc27405427 \h </w:instrText>
            </w:r>
            <w:r w:rsidR="002156A7">
              <w:rPr>
                <w:noProof/>
                <w:webHidden/>
              </w:rPr>
            </w:r>
            <w:r w:rsidR="002156A7">
              <w:rPr>
                <w:noProof/>
                <w:webHidden/>
              </w:rPr>
              <w:fldChar w:fldCharType="separate"/>
            </w:r>
            <w:r w:rsidR="00AB5EBB">
              <w:rPr>
                <w:noProof/>
                <w:webHidden/>
              </w:rPr>
              <w:t>18</w:t>
            </w:r>
            <w:r w:rsidR="002156A7">
              <w:rPr>
                <w:noProof/>
                <w:webHidden/>
              </w:rPr>
              <w:fldChar w:fldCharType="end"/>
            </w:r>
          </w:hyperlink>
        </w:p>
        <w:p w14:paraId="7E8E4077" w14:textId="235828F5" w:rsidR="002156A7" w:rsidRDefault="00060FA6">
          <w:pPr>
            <w:pStyle w:val="TDC3"/>
            <w:rPr>
              <w:rFonts w:asciiTheme="minorHAnsi" w:eastAsiaTheme="minorEastAsia" w:hAnsiTheme="minorHAnsi" w:cstheme="minorBidi"/>
              <w:noProof/>
              <w:sz w:val="22"/>
              <w:szCs w:val="22"/>
              <w:lang w:val="en-US" w:eastAsia="en-US"/>
            </w:rPr>
          </w:pPr>
          <w:hyperlink w:anchor="_Toc27405428" w:history="1">
            <w:r w:rsidR="002156A7" w:rsidRPr="003A5388">
              <w:rPr>
                <w:rStyle w:val="Hipervnculo"/>
                <w:noProof/>
              </w:rPr>
              <w:t>a.1 Orden inicial de prisión preventiva</w:t>
            </w:r>
            <w:r w:rsidR="002156A7">
              <w:rPr>
                <w:noProof/>
                <w:webHidden/>
              </w:rPr>
              <w:tab/>
            </w:r>
            <w:r w:rsidR="002156A7">
              <w:rPr>
                <w:noProof/>
                <w:webHidden/>
              </w:rPr>
              <w:fldChar w:fldCharType="begin"/>
            </w:r>
            <w:r w:rsidR="002156A7">
              <w:rPr>
                <w:noProof/>
                <w:webHidden/>
              </w:rPr>
              <w:instrText xml:space="preserve"> PAGEREF _Toc27405428 \h </w:instrText>
            </w:r>
            <w:r w:rsidR="002156A7">
              <w:rPr>
                <w:noProof/>
                <w:webHidden/>
              </w:rPr>
            </w:r>
            <w:r w:rsidR="002156A7">
              <w:rPr>
                <w:noProof/>
                <w:webHidden/>
              </w:rPr>
              <w:fldChar w:fldCharType="separate"/>
            </w:r>
            <w:r w:rsidR="00AB5EBB">
              <w:rPr>
                <w:noProof/>
                <w:webHidden/>
              </w:rPr>
              <w:t>18</w:t>
            </w:r>
            <w:r w:rsidR="002156A7">
              <w:rPr>
                <w:noProof/>
                <w:webHidden/>
              </w:rPr>
              <w:fldChar w:fldCharType="end"/>
            </w:r>
          </w:hyperlink>
        </w:p>
        <w:p w14:paraId="324C156F" w14:textId="02F8030B" w:rsidR="002156A7" w:rsidRDefault="00060FA6">
          <w:pPr>
            <w:pStyle w:val="TDC3"/>
            <w:rPr>
              <w:rFonts w:asciiTheme="minorHAnsi" w:eastAsiaTheme="minorEastAsia" w:hAnsiTheme="minorHAnsi" w:cstheme="minorBidi"/>
              <w:noProof/>
              <w:sz w:val="22"/>
              <w:szCs w:val="22"/>
              <w:lang w:val="en-US" w:eastAsia="en-US"/>
            </w:rPr>
          </w:pPr>
          <w:hyperlink w:anchor="_Toc27405429" w:history="1">
            <w:r w:rsidR="002156A7" w:rsidRPr="003A5388">
              <w:rPr>
                <w:rStyle w:val="Hipervnculo"/>
                <w:noProof/>
              </w:rPr>
              <w:t>a.2 Duración de la prisión preventiva</w:t>
            </w:r>
            <w:r w:rsidR="002156A7">
              <w:rPr>
                <w:noProof/>
                <w:webHidden/>
              </w:rPr>
              <w:tab/>
            </w:r>
            <w:r w:rsidR="002156A7">
              <w:rPr>
                <w:noProof/>
                <w:webHidden/>
              </w:rPr>
              <w:fldChar w:fldCharType="begin"/>
            </w:r>
            <w:r w:rsidR="002156A7">
              <w:rPr>
                <w:noProof/>
                <w:webHidden/>
              </w:rPr>
              <w:instrText xml:space="preserve"> PAGEREF _Toc27405429 \h </w:instrText>
            </w:r>
            <w:r w:rsidR="002156A7">
              <w:rPr>
                <w:noProof/>
                <w:webHidden/>
              </w:rPr>
            </w:r>
            <w:r w:rsidR="002156A7">
              <w:rPr>
                <w:noProof/>
                <w:webHidden/>
              </w:rPr>
              <w:fldChar w:fldCharType="separate"/>
            </w:r>
            <w:r w:rsidR="00AB5EBB">
              <w:rPr>
                <w:noProof/>
                <w:webHidden/>
              </w:rPr>
              <w:t>18</w:t>
            </w:r>
            <w:r w:rsidR="002156A7">
              <w:rPr>
                <w:noProof/>
                <w:webHidden/>
              </w:rPr>
              <w:fldChar w:fldCharType="end"/>
            </w:r>
          </w:hyperlink>
        </w:p>
        <w:p w14:paraId="2BDF1513" w14:textId="3E654DA5" w:rsidR="002156A7" w:rsidRDefault="00060FA6">
          <w:pPr>
            <w:pStyle w:val="TDC3"/>
            <w:rPr>
              <w:rFonts w:asciiTheme="minorHAnsi" w:eastAsiaTheme="minorEastAsia" w:hAnsiTheme="minorHAnsi" w:cstheme="minorBidi"/>
              <w:noProof/>
              <w:sz w:val="22"/>
              <w:szCs w:val="22"/>
              <w:lang w:val="en-US" w:eastAsia="en-US"/>
            </w:rPr>
          </w:pPr>
          <w:hyperlink w:anchor="_Toc27405430" w:history="1">
            <w:r w:rsidR="002156A7" w:rsidRPr="003A5388">
              <w:rPr>
                <w:rStyle w:val="Hipervnculo"/>
                <w:noProof/>
              </w:rPr>
              <w:t>a.3 Efectividad de los recursos para cuestionar la privación de libertad</w:t>
            </w:r>
            <w:r w:rsidR="002156A7">
              <w:rPr>
                <w:noProof/>
                <w:webHidden/>
              </w:rPr>
              <w:tab/>
            </w:r>
            <w:r w:rsidR="002156A7">
              <w:rPr>
                <w:noProof/>
                <w:webHidden/>
              </w:rPr>
              <w:fldChar w:fldCharType="begin"/>
            </w:r>
            <w:r w:rsidR="002156A7">
              <w:rPr>
                <w:noProof/>
                <w:webHidden/>
              </w:rPr>
              <w:instrText xml:space="preserve"> PAGEREF _Toc27405430 \h </w:instrText>
            </w:r>
            <w:r w:rsidR="002156A7">
              <w:rPr>
                <w:noProof/>
                <w:webHidden/>
              </w:rPr>
            </w:r>
            <w:r w:rsidR="002156A7">
              <w:rPr>
                <w:noProof/>
                <w:webHidden/>
              </w:rPr>
              <w:fldChar w:fldCharType="separate"/>
            </w:r>
            <w:r w:rsidR="00AB5EBB">
              <w:rPr>
                <w:noProof/>
                <w:webHidden/>
              </w:rPr>
              <w:t>19</w:t>
            </w:r>
            <w:r w:rsidR="002156A7">
              <w:rPr>
                <w:noProof/>
                <w:webHidden/>
              </w:rPr>
              <w:fldChar w:fldCharType="end"/>
            </w:r>
          </w:hyperlink>
        </w:p>
        <w:p w14:paraId="283833E6" w14:textId="47E8909A" w:rsidR="002156A7" w:rsidRDefault="00060FA6">
          <w:pPr>
            <w:pStyle w:val="TDC2"/>
            <w:rPr>
              <w:rFonts w:asciiTheme="minorHAnsi" w:eastAsiaTheme="minorEastAsia" w:hAnsiTheme="minorHAnsi" w:cstheme="minorBidi"/>
              <w:noProof/>
              <w:sz w:val="22"/>
              <w:szCs w:val="22"/>
              <w:lang w:val="en-US" w:eastAsia="en-US"/>
            </w:rPr>
          </w:pPr>
          <w:hyperlink w:anchor="_Toc27405431" w:history="1">
            <w:r w:rsidR="002156A7" w:rsidRPr="003A5388">
              <w:rPr>
                <w:rStyle w:val="Hipervnculo"/>
                <w:noProof/>
              </w:rPr>
              <w:t>B.</w:t>
            </w:r>
            <w:r w:rsidR="002156A7">
              <w:rPr>
                <w:rFonts w:asciiTheme="minorHAnsi" w:eastAsiaTheme="minorEastAsia" w:hAnsiTheme="minorHAnsi" w:cstheme="minorBidi"/>
                <w:noProof/>
                <w:sz w:val="22"/>
                <w:szCs w:val="22"/>
                <w:lang w:val="en-US" w:eastAsia="en-US"/>
              </w:rPr>
              <w:tab/>
            </w:r>
            <w:r w:rsidR="002156A7" w:rsidRPr="003A5388">
              <w:rPr>
                <w:rStyle w:val="Hipervnculo"/>
                <w:noProof/>
              </w:rPr>
              <w:t xml:space="preserve"> Consideraciones de la Corte</w:t>
            </w:r>
            <w:r w:rsidR="002156A7">
              <w:rPr>
                <w:noProof/>
                <w:webHidden/>
              </w:rPr>
              <w:tab/>
            </w:r>
            <w:r w:rsidR="002156A7">
              <w:rPr>
                <w:noProof/>
                <w:webHidden/>
              </w:rPr>
              <w:fldChar w:fldCharType="begin"/>
            </w:r>
            <w:r w:rsidR="002156A7">
              <w:rPr>
                <w:noProof/>
                <w:webHidden/>
              </w:rPr>
              <w:instrText xml:space="preserve"> PAGEREF _Toc27405431 \h </w:instrText>
            </w:r>
            <w:r w:rsidR="002156A7">
              <w:rPr>
                <w:noProof/>
                <w:webHidden/>
              </w:rPr>
            </w:r>
            <w:r w:rsidR="002156A7">
              <w:rPr>
                <w:noProof/>
                <w:webHidden/>
              </w:rPr>
              <w:fldChar w:fldCharType="separate"/>
            </w:r>
            <w:r w:rsidR="00AB5EBB">
              <w:rPr>
                <w:noProof/>
                <w:webHidden/>
              </w:rPr>
              <w:t>19</w:t>
            </w:r>
            <w:r w:rsidR="002156A7">
              <w:rPr>
                <w:noProof/>
                <w:webHidden/>
              </w:rPr>
              <w:fldChar w:fldCharType="end"/>
            </w:r>
          </w:hyperlink>
        </w:p>
        <w:p w14:paraId="0F2BC8A9" w14:textId="63F8DD92" w:rsidR="002156A7" w:rsidRDefault="00060FA6">
          <w:pPr>
            <w:pStyle w:val="TDC3"/>
            <w:rPr>
              <w:rFonts w:asciiTheme="minorHAnsi" w:eastAsiaTheme="minorEastAsia" w:hAnsiTheme="minorHAnsi" w:cstheme="minorBidi"/>
              <w:noProof/>
              <w:sz w:val="22"/>
              <w:szCs w:val="22"/>
              <w:lang w:val="en-US" w:eastAsia="en-US"/>
            </w:rPr>
          </w:pPr>
          <w:hyperlink w:anchor="_Toc27405432" w:history="1">
            <w:r w:rsidR="002156A7" w:rsidRPr="003A5388">
              <w:rPr>
                <w:rStyle w:val="Hipervnculo"/>
                <w:noProof/>
              </w:rPr>
              <w:t>b.1 Orden inicial de prisión preventiva</w:t>
            </w:r>
            <w:r w:rsidR="002156A7">
              <w:rPr>
                <w:noProof/>
                <w:webHidden/>
              </w:rPr>
              <w:tab/>
            </w:r>
            <w:r w:rsidR="002156A7">
              <w:rPr>
                <w:noProof/>
                <w:webHidden/>
              </w:rPr>
              <w:fldChar w:fldCharType="begin"/>
            </w:r>
            <w:r w:rsidR="002156A7">
              <w:rPr>
                <w:noProof/>
                <w:webHidden/>
              </w:rPr>
              <w:instrText xml:space="preserve"> PAGEREF _Toc27405432 \h </w:instrText>
            </w:r>
            <w:r w:rsidR="002156A7">
              <w:rPr>
                <w:noProof/>
                <w:webHidden/>
              </w:rPr>
            </w:r>
            <w:r w:rsidR="002156A7">
              <w:rPr>
                <w:noProof/>
                <w:webHidden/>
              </w:rPr>
              <w:fldChar w:fldCharType="separate"/>
            </w:r>
            <w:r w:rsidR="00AB5EBB">
              <w:rPr>
                <w:noProof/>
                <w:webHidden/>
              </w:rPr>
              <w:t>20</w:t>
            </w:r>
            <w:r w:rsidR="002156A7">
              <w:rPr>
                <w:noProof/>
                <w:webHidden/>
              </w:rPr>
              <w:fldChar w:fldCharType="end"/>
            </w:r>
          </w:hyperlink>
        </w:p>
        <w:p w14:paraId="1DBDC786" w14:textId="3C2D1272" w:rsidR="002156A7" w:rsidRDefault="00060FA6">
          <w:pPr>
            <w:pStyle w:val="TDC3"/>
            <w:rPr>
              <w:rFonts w:asciiTheme="minorHAnsi" w:eastAsiaTheme="minorEastAsia" w:hAnsiTheme="minorHAnsi" w:cstheme="minorBidi"/>
              <w:noProof/>
              <w:sz w:val="22"/>
              <w:szCs w:val="22"/>
              <w:lang w:val="en-US" w:eastAsia="en-US"/>
            </w:rPr>
          </w:pPr>
          <w:hyperlink w:anchor="_Toc27405433" w:history="1">
            <w:r w:rsidR="002156A7" w:rsidRPr="003A5388">
              <w:rPr>
                <w:rStyle w:val="Hipervnculo"/>
                <w:noProof/>
              </w:rPr>
              <w:t>b.2 Duración de la prisión preventiva</w:t>
            </w:r>
            <w:r w:rsidR="002156A7">
              <w:rPr>
                <w:noProof/>
                <w:webHidden/>
              </w:rPr>
              <w:tab/>
            </w:r>
            <w:r w:rsidR="002156A7">
              <w:rPr>
                <w:noProof/>
                <w:webHidden/>
              </w:rPr>
              <w:fldChar w:fldCharType="begin"/>
            </w:r>
            <w:r w:rsidR="002156A7">
              <w:rPr>
                <w:noProof/>
                <w:webHidden/>
              </w:rPr>
              <w:instrText xml:space="preserve"> PAGEREF _Toc27405433 \h </w:instrText>
            </w:r>
            <w:r w:rsidR="002156A7">
              <w:rPr>
                <w:noProof/>
                <w:webHidden/>
              </w:rPr>
            </w:r>
            <w:r w:rsidR="002156A7">
              <w:rPr>
                <w:noProof/>
                <w:webHidden/>
              </w:rPr>
              <w:fldChar w:fldCharType="separate"/>
            </w:r>
            <w:r w:rsidR="00AB5EBB">
              <w:rPr>
                <w:noProof/>
                <w:webHidden/>
              </w:rPr>
              <w:t>23</w:t>
            </w:r>
            <w:r w:rsidR="002156A7">
              <w:rPr>
                <w:noProof/>
                <w:webHidden/>
              </w:rPr>
              <w:fldChar w:fldCharType="end"/>
            </w:r>
          </w:hyperlink>
        </w:p>
        <w:p w14:paraId="149C2823" w14:textId="5696ECE4" w:rsidR="002156A7" w:rsidRDefault="00060FA6">
          <w:pPr>
            <w:pStyle w:val="TDC3"/>
            <w:rPr>
              <w:rFonts w:asciiTheme="minorHAnsi" w:eastAsiaTheme="minorEastAsia" w:hAnsiTheme="minorHAnsi" w:cstheme="minorBidi"/>
              <w:noProof/>
              <w:sz w:val="22"/>
              <w:szCs w:val="22"/>
              <w:lang w:val="en-US" w:eastAsia="en-US"/>
            </w:rPr>
          </w:pPr>
          <w:hyperlink w:anchor="_Toc27405434" w:history="1">
            <w:r w:rsidR="002156A7" w:rsidRPr="003A5388">
              <w:rPr>
                <w:rStyle w:val="Hipervnculo"/>
                <w:noProof/>
              </w:rPr>
              <w:t>b.3 Efectividad de los recursos para cuestionar la privación de libertad</w:t>
            </w:r>
            <w:r w:rsidR="002156A7">
              <w:rPr>
                <w:noProof/>
                <w:webHidden/>
              </w:rPr>
              <w:tab/>
            </w:r>
            <w:r w:rsidR="002156A7">
              <w:rPr>
                <w:noProof/>
                <w:webHidden/>
              </w:rPr>
              <w:fldChar w:fldCharType="begin"/>
            </w:r>
            <w:r w:rsidR="002156A7">
              <w:rPr>
                <w:noProof/>
                <w:webHidden/>
              </w:rPr>
              <w:instrText xml:space="preserve"> PAGEREF _Toc27405434 \h </w:instrText>
            </w:r>
            <w:r w:rsidR="002156A7">
              <w:rPr>
                <w:noProof/>
                <w:webHidden/>
              </w:rPr>
            </w:r>
            <w:r w:rsidR="002156A7">
              <w:rPr>
                <w:noProof/>
                <w:webHidden/>
              </w:rPr>
              <w:fldChar w:fldCharType="separate"/>
            </w:r>
            <w:r w:rsidR="00AB5EBB">
              <w:rPr>
                <w:noProof/>
                <w:webHidden/>
              </w:rPr>
              <w:t>27</w:t>
            </w:r>
            <w:r w:rsidR="002156A7">
              <w:rPr>
                <w:noProof/>
                <w:webHidden/>
              </w:rPr>
              <w:fldChar w:fldCharType="end"/>
            </w:r>
          </w:hyperlink>
        </w:p>
        <w:p w14:paraId="45BC92FE" w14:textId="76B00233" w:rsidR="002156A7" w:rsidRDefault="00060FA6">
          <w:pPr>
            <w:pStyle w:val="TDC1"/>
            <w:rPr>
              <w:rFonts w:asciiTheme="minorHAnsi" w:eastAsiaTheme="minorEastAsia" w:hAnsiTheme="minorHAnsi" w:cstheme="minorBidi"/>
              <w:b w:val="0"/>
              <w:sz w:val="22"/>
              <w:szCs w:val="22"/>
              <w:lang w:val="en-US" w:eastAsia="en-US"/>
            </w:rPr>
          </w:pPr>
          <w:hyperlink w:anchor="_Toc27405435" w:history="1">
            <w:r w:rsidR="002156A7" w:rsidRPr="003A5388">
              <w:rPr>
                <w:rStyle w:val="Hipervnculo"/>
              </w:rPr>
              <w:t>VIII-2 DERECHO A LAS GARANTÍAS JUDICIALES Y A LA PROTECCIÓN JUDICIAL</w:t>
            </w:r>
            <w:r w:rsidR="002156A7">
              <w:rPr>
                <w:webHidden/>
              </w:rPr>
              <w:tab/>
            </w:r>
            <w:r w:rsidR="002156A7">
              <w:rPr>
                <w:webHidden/>
              </w:rPr>
              <w:fldChar w:fldCharType="begin"/>
            </w:r>
            <w:r w:rsidR="002156A7">
              <w:rPr>
                <w:webHidden/>
              </w:rPr>
              <w:instrText xml:space="preserve"> PAGEREF _Toc27405435 \h </w:instrText>
            </w:r>
            <w:r w:rsidR="002156A7">
              <w:rPr>
                <w:webHidden/>
              </w:rPr>
            </w:r>
            <w:r w:rsidR="002156A7">
              <w:rPr>
                <w:webHidden/>
              </w:rPr>
              <w:fldChar w:fldCharType="separate"/>
            </w:r>
            <w:r w:rsidR="00AB5EBB">
              <w:rPr>
                <w:webHidden/>
              </w:rPr>
              <w:t>28</w:t>
            </w:r>
            <w:r w:rsidR="002156A7">
              <w:rPr>
                <w:webHidden/>
              </w:rPr>
              <w:fldChar w:fldCharType="end"/>
            </w:r>
          </w:hyperlink>
        </w:p>
        <w:p w14:paraId="6E5FF0AA" w14:textId="1E92A160" w:rsidR="002156A7" w:rsidRDefault="00060FA6">
          <w:pPr>
            <w:pStyle w:val="TDC2"/>
            <w:rPr>
              <w:rFonts w:asciiTheme="minorHAnsi" w:eastAsiaTheme="minorEastAsia" w:hAnsiTheme="minorHAnsi" w:cstheme="minorBidi"/>
              <w:noProof/>
              <w:sz w:val="22"/>
              <w:szCs w:val="22"/>
              <w:lang w:val="en-US" w:eastAsia="en-US"/>
            </w:rPr>
          </w:pPr>
          <w:hyperlink w:anchor="_Toc27405436" w:history="1">
            <w:r w:rsidR="002156A7" w:rsidRPr="003A5388">
              <w:rPr>
                <w:rStyle w:val="Hipervnculo"/>
                <w:noProof/>
              </w:rPr>
              <w:t>A.</w:t>
            </w:r>
            <w:r w:rsidR="002156A7">
              <w:rPr>
                <w:rFonts w:asciiTheme="minorHAnsi" w:eastAsiaTheme="minorEastAsia" w:hAnsiTheme="minorHAnsi" w:cstheme="minorBidi"/>
                <w:noProof/>
                <w:sz w:val="22"/>
                <w:szCs w:val="22"/>
                <w:lang w:val="en-US" w:eastAsia="en-US"/>
              </w:rPr>
              <w:tab/>
            </w:r>
            <w:r w:rsidR="002156A7" w:rsidRPr="003A5388">
              <w:rPr>
                <w:rStyle w:val="Hipervnculo"/>
                <w:noProof/>
              </w:rPr>
              <w:t xml:space="preserve"> Argumentos de las partes y de la Comisión</w:t>
            </w:r>
            <w:r w:rsidR="002156A7">
              <w:rPr>
                <w:noProof/>
                <w:webHidden/>
              </w:rPr>
              <w:tab/>
            </w:r>
            <w:r w:rsidR="002156A7">
              <w:rPr>
                <w:noProof/>
                <w:webHidden/>
              </w:rPr>
              <w:fldChar w:fldCharType="begin"/>
            </w:r>
            <w:r w:rsidR="002156A7">
              <w:rPr>
                <w:noProof/>
                <w:webHidden/>
              </w:rPr>
              <w:instrText xml:space="preserve"> PAGEREF _Toc27405436 \h </w:instrText>
            </w:r>
            <w:r w:rsidR="002156A7">
              <w:rPr>
                <w:noProof/>
                <w:webHidden/>
              </w:rPr>
            </w:r>
            <w:r w:rsidR="002156A7">
              <w:rPr>
                <w:noProof/>
                <w:webHidden/>
              </w:rPr>
              <w:fldChar w:fldCharType="separate"/>
            </w:r>
            <w:r w:rsidR="00AB5EBB">
              <w:rPr>
                <w:noProof/>
                <w:webHidden/>
              </w:rPr>
              <w:t>28</w:t>
            </w:r>
            <w:r w:rsidR="002156A7">
              <w:rPr>
                <w:noProof/>
                <w:webHidden/>
              </w:rPr>
              <w:fldChar w:fldCharType="end"/>
            </w:r>
          </w:hyperlink>
        </w:p>
        <w:p w14:paraId="71A09427" w14:textId="5EE71F2E" w:rsidR="002156A7" w:rsidRDefault="00060FA6">
          <w:pPr>
            <w:pStyle w:val="TDC2"/>
            <w:rPr>
              <w:rFonts w:asciiTheme="minorHAnsi" w:eastAsiaTheme="minorEastAsia" w:hAnsiTheme="minorHAnsi" w:cstheme="minorBidi"/>
              <w:noProof/>
              <w:sz w:val="22"/>
              <w:szCs w:val="22"/>
              <w:lang w:val="en-US" w:eastAsia="en-US"/>
            </w:rPr>
          </w:pPr>
          <w:hyperlink w:anchor="_Toc27405437" w:history="1">
            <w:r w:rsidR="002156A7" w:rsidRPr="003A5388">
              <w:rPr>
                <w:rStyle w:val="Hipervnculo"/>
                <w:noProof/>
              </w:rPr>
              <w:t>B.</w:t>
            </w:r>
            <w:r w:rsidR="002156A7">
              <w:rPr>
                <w:rFonts w:asciiTheme="minorHAnsi" w:eastAsiaTheme="minorEastAsia" w:hAnsiTheme="minorHAnsi" w:cstheme="minorBidi"/>
                <w:noProof/>
                <w:sz w:val="22"/>
                <w:szCs w:val="22"/>
                <w:lang w:val="en-US" w:eastAsia="en-US"/>
              </w:rPr>
              <w:tab/>
            </w:r>
            <w:r w:rsidR="002156A7" w:rsidRPr="003A5388">
              <w:rPr>
                <w:rStyle w:val="Hipervnculo"/>
                <w:noProof/>
              </w:rPr>
              <w:t xml:space="preserve"> Consideraciones de la Corte</w:t>
            </w:r>
            <w:r w:rsidR="002156A7">
              <w:rPr>
                <w:noProof/>
                <w:webHidden/>
              </w:rPr>
              <w:tab/>
            </w:r>
            <w:r w:rsidR="002156A7">
              <w:rPr>
                <w:noProof/>
                <w:webHidden/>
              </w:rPr>
              <w:fldChar w:fldCharType="begin"/>
            </w:r>
            <w:r w:rsidR="002156A7">
              <w:rPr>
                <w:noProof/>
                <w:webHidden/>
              </w:rPr>
              <w:instrText xml:space="preserve"> PAGEREF _Toc27405437 \h </w:instrText>
            </w:r>
            <w:r w:rsidR="002156A7">
              <w:rPr>
                <w:noProof/>
                <w:webHidden/>
              </w:rPr>
            </w:r>
            <w:r w:rsidR="002156A7">
              <w:rPr>
                <w:noProof/>
                <w:webHidden/>
              </w:rPr>
              <w:fldChar w:fldCharType="separate"/>
            </w:r>
            <w:r w:rsidR="00AB5EBB">
              <w:rPr>
                <w:noProof/>
                <w:webHidden/>
              </w:rPr>
              <w:t>28</w:t>
            </w:r>
            <w:r w:rsidR="002156A7">
              <w:rPr>
                <w:noProof/>
                <w:webHidden/>
              </w:rPr>
              <w:fldChar w:fldCharType="end"/>
            </w:r>
          </w:hyperlink>
        </w:p>
        <w:p w14:paraId="386099AC" w14:textId="25BF9131" w:rsidR="002156A7" w:rsidRDefault="00060FA6">
          <w:pPr>
            <w:pStyle w:val="TDC3"/>
            <w:rPr>
              <w:rFonts w:asciiTheme="minorHAnsi" w:eastAsiaTheme="minorEastAsia" w:hAnsiTheme="minorHAnsi" w:cstheme="minorBidi"/>
              <w:noProof/>
              <w:sz w:val="22"/>
              <w:szCs w:val="22"/>
              <w:lang w:val="en-US" w:eastAsia="en-US"/>
            </w:rPr>
          </w:pPr>
          <w:hyperlink w:anchor="_Toc27405438" w:history="1">
            <w:r w:rsidR="002156A7" w:rsidRPr="003A5388">
              <w:rPr>
                <w:rStyle w:val="Hipervnculo"/>
                <w:noProof/>
              </w:rPr>
              <w:t>b.1 Complejidad del asunto</w:t>
            </w:r>
            <w:r w:rsidR="002156A7">
              <w:rPr>
                <w:noProof/>
                <w:webHidden/>
              </w:rPr>
              <w:tab/>
            </w:r>
            <w:r w:rsidR="002156A7">
              <w:rPr>
                <w:noProof/>
                <w:webHidden/>
              </w:rPr>
              <w:fldChar w:fldCharType="begin"/>
            </w:r>
            <w:r w:rsidR="002156A7">
              <w:rPr>
                <w:noProof/>
                <w:webHidden/>
              </w:rPr>
              <w:instrText xml:space="preserve"> PAGEREF _Toc27405438 \h </w:instrText>
            </w:r>
            <w:r w:rsidR="002156A7">
              <w:rPr>
                <w:noProof/>
                <w:webHidden/>
              </w:rPr>
            </w:r>
            <w:r w:rsidR="002156A7">
              <w:rPr>
                <w:noProof/>
                <w:webHidden/>
              </w:rPr>
              <w:fldChar w:fldCharType="separate"/>
            </w:r>
            <w:r w:rsidR="00AB5EBB">
              <w:rPr>
                <w:noProof/>
                <w:webHidden/>
              </w:rPr>
              <w:t>29</w:t>
            </w:r>
            <w:r w:rsidR="002156A7">
              <w:rPr>
                <w:noProof/>
                <w:webHidden/>
              </w:rPr>
              <w:fldChar w:fldCharType="end"/>
            </w:r>
          </w:hyperlink>
        </w:p>
        <w:p w14:paraId="6CF43EE9" w14:textId="2BD34954" w:rsidR="002156A7" w:rsidRDefault="00060FA6">
          <w:pPr>
            <w:pStyle w:val="TDC3"/>
            <w:rPr>
              <w:rFonts w:asciiTheme="minorHAnsi" w:eastAsiaTheme="minorEastAsia" w:hAnsiTheme="minorHAnsi" w:cstheme="minorBidi"/>
              <w:noProof/>
              <w:sz w:val="22"/>
              <w:szCs w:val="22"/>
              <w:lang w:val="en-US" w:eastAsia="en-US"/>
            </w:rPr>
          </w:pPr>
          <w:hyperlink w:anchor="_Toc27405439" w:history="1">
            <w:r w:rsidR="002156A7" w:rsidRPr="003A5388">
              <w:rPr>
                <w:rStyle w:val="Hipervnculo"/>
                <w:noProof/>
              </w:rPr>
              <w:t>b.2 Actividad procesal del interesado</w:t>
            </w:r>
            <w:r w:rsidR="002156A7">
              <w:rPr>
                <w:noProof/>
                <w:webHidden/>
              </w:rPr>
              <w:tab/>
            </w:r>
            <w:r w:rsidR="002156A7">
              <w:rPr>
                <w:noProof/>
                <w:webHidden/>
              </w:rPr>
              <w:fldChar w:fldCharType="begin"/>
            </w:r>
            <w:r w:rsidR="002156A7">
              <w:rPr>
                <w:noProof/>
                <w:webHidden/>
              </w:rPr>
              <w:instrText xml:space="preserve"> PAGEREF _Toc27405439 \h </w:instrText>
            </w:r>
            <w:r w:rsidR="002156A7">
              <w:rPr>
                <w:noProof/>
                <w:webHidden/>
              </w:rPr>
            </w:r>
            <w:r w:rsidR="002156A7">
              <w:rPr>
                <w:noProof/>
                <w:webHidden/>
              </w:rPr>
              <w:fldChar w:fldCharType="separate"/>
            </w:r>
            <w:r w:rsidR="00AB5EBB">
              <w:rPr>
                <w:noProof/>
                <w:webHidden/>
              </w:rPr>
              <w:t>30</w:t>
            </w:r>
            <w:r w:rsidR="002156A7">
              <w:rPr>
                <w:noProof/>
                <w:webHidden/>
              </w:rPr>
              <w:fldChar w:fldCharType="end"/>
            </w:r>
          </w:hyperlink>
        </w:p>
        <w:p w14:paraId="711E7245" w14:textId="142C537A" w:rsidR="002156A7" w:rsidRDefault="00060FA6">
          <w:pPr>
            <w:pStyle w:val="TDC3"/>
            <w:rPr>
              <w:rFonts w:asciiTheme="minorHAnsi" w:eastAsiaTheme="minorEastAsia" w:hAnsiTheme="minorHAnsi" w:cstheme="minorBidi"/>
              <w:noProof/>
              <w:sz w:val="22"/>
              <w:szCs w:val="22"/>
              <w:lang w:val="en-US" w:eastAsia="en-US"/>
            </w:rPr>
          </w:pPr>
          <w:hyperlink w:anchor="_Toc27405440" w:history="1">
            <w:r w:rsidR="002156A7" w:rsidRPr="003A5388">
              <w:rPr>
                <w:rStyle w:val="Hipervnculo"/>
                <w:noProof/>
              </w:rPr>
              <w:t>b.3 Conducta de las autoridades estatales</w:t>
            </w:r>
            <w:r w:rsidR="002156A7">
              <w:rPr>
                <w:noProof/>
                <w:webHidden/>
              </w:rPr>
              <w:tab/>
            </w:r>
            <w:r w:rsidR="002156A7">
              <w:rPr>
                <w:noProof/>
                <w:webHidden/>
              </w:rPr>
              <w:fldChar w:fldCharType="begin"/>
            </w:r>
            <w:r w:rsidR="002156A7">
              <w:rPr>
                <w:noProof/>
                <w:webHidden/>
              </w:rPr>
              <w:instrText xml:space="preserve"> PAGEREF _Toc27405440 \h </w:instrText>
            </w:r>
            <w:r w:rsidR="002156A7">
              <w:rPr>
                <w:noProof/>
                <w:webHidden/>
              </w:rPr>
            </w:r>
            <w:r w:rsidR="002156A7">
              <w:rPr>
                <w:noProof/>
                <w:webHidden/>
              </w:rPr>
              <w:fldChar w:fldCharType="separate"/>
            </w:r>
            <w:r w:rsidR="00AB5EBB">
              <w:rPr>
                <w:noProof/>
                <w:webHidden/>
              </w:rPr>
              <w:t>31</w:t>
            </w:r>
            <w:r w:rsidR="002156A7">
              <w:rPr>
                <w:noProof/>
                <w:webHidden/>
              </w:rPr>
              <w:fldChar w:fldCharType="end"/>
            </w:r>
          </w:hyperlink>
        </w:p>
        <w:p w14:paraId="3812A433" w14:textId="0FC20FBF" w:rsidR="002156A7" w:rsidRDefault="00060FA6">
          <w:pPr>
            <w:pStyle w:val="TDC3"/>
            <w:rPr>
              <w:rFonts w:asciiTheme="minorHAnsi" w:eastAsiaTheme="minorEastAsia" w:hAnsiTheme="minorHAnsi" w:cstheme="minorBidi"/>
              <w:noProof/>
              <w:sz w:val="22"/>
              <w:szCs w:val="22"/>
              <w:lang w:val="en-US" w:eastAsia="en-US"/>
            </w:rPr>
          </w:pPr>
          <w:hyperlink w:anchor="_Toc27405441" w:history="1">
            <w:r w:rsidR="002156A7" w:rsidRPr="003A5388">
              <w:rPr>
                <w:rStyle w:val="Hipervnculo"/>
                <w:noProof/>
              </w:rPr>
              <w:t>b.4 Afectación generada en la situación jurídica del señor Jenkins</w:t>
            </w:r>
            <w:r w:rsidR="002156A7">
              <w:rPr>
                <w:noProof/>
                <w:webHidden/>
              </w:rPr>
              <w:tab/>
            </w:r>
            <w:r w:rsidR="002156A7">
              <w:rPr>
                <w:noProof/>
                <w:webHidden/>
              </w:rPr>
              <w:fldChar w:fldCharType="begin"/>
            </w:r>
            <w:r w:rsidR="002156A7">
              <w:rPr>
                <w:noProof/>
                <w:webHidden/>
              </w:rPr>
              <w:instrText xml:space="preserve"> PAGEREF _Toc27405441 \h </w:instrText>
            </w:r>
            <w:r w:rsidR="002156A7">
              <w:rPr>
                <w:noProof/>
                <w:webHidden/>
              </w:rPr>
            </w:r>
            <w:r w:rsidR="002156A7">
              <w:rPr>
                <w:noProof/>
                <w:webHidden/>
              </w:rPr>
              <w:fldChar w:fldCharType="separate"/>
            </w:r>
            <w:r w:rsidR="00AB5EBB">
              <w:rPr>
                <w:noProof/>
                <w:webHidden/>
              </w:rPr>
              <w:t>32</w:t>
            </w:r>
            <w:r w:rsidR="002156A7">
              <w:rPr>
                <w:noProof/>
                <w:webHidden/>
              </w:rPr>
              <w:fldChar w:fldCharType="end"/>
            </w:r>
          </w:hyperlink>
        </w:p>
        <w:p w14:paraId="3E31F7FE" w14:textId="6F57D1C4" w:rsidR="002156A7" w:rsidRDefault="00060FA6">
          <w:pPr>
            <w:pStyle w:val="TDC1"/>
            <w:rPr>
              <w:rFonts w:asciiTheme="minorHAnsi" w:eastAsiaTheme="minorEastAsia" w:hAnsiTheme="minorHAnsi" w:cstheme="minorBidi"/>
              <w:b w:val="0"/>
              <w:sz w:val="22"/>
              <w:szCs w:val="22"/>
              <w:lang w:val="en-US" w:eastAsia="en-US"/>
            </w:rPr>
          </w:pPr>
          <w:hyperlink w:anchor="_Toc27405442" w:history="1">
            <w:r w:rsidR="002156A7" w:rsidRPr="003A5388">
              <w:rPr>
                <w:rStyle w:val="Hipervnculo"/>
              </w:rPr>
              <w:t>IX REPARACIONES</w:t>
            </w:r>
            <w:r w:rsidR="002156A7">
              <w:rPr>
                <w:webHidden/>
              </w:rPr>
              <w:tab/>
            </w:r>
            <w:r w:rsidR="002156A7">
              <w:rPr>
                <w:webHidden/>
              </w:rPr>
              <w:fldChar w:fldCharType="begin"/>
            </w:r>
            <w:r w:rsidR="002156A7">
              <w:rPr>
                <w:webHidden/>
              </w:rPr>
              <w:instrText xml:space="preserve"> PAGEREF _Toc27405442 \h </w:instrText>
            </w:r>
            <w:r w:rsidR="002156A7">
              <w:rPr>
                <w:webHidden/>
              </w:rPr>
            </w:r>
            <w:r w:rsidR="002156A7">
              <w:rPr>
                <w:webHidden/>
              </w:rPr>
              <w:fldChar w:fldCharType="separate"/>
            </w:r>
            <w:r w:rsidR="00AB5EBB">
              <w:rPr>
                <w:webHidden/>
              </w:rPr>
              <w:t>32</w:t>
            </w:r>
            <w:r w:rsidR="002156A7">
              <w:rPr>
                <w:webHidden/>
              </w:rPr>
              <w:fldChar w:fldCharType="end"/>
            </w:r>
          </w:hyperlink>
        </w:p>
        <w:p w14:paraId="1E039F58" w14:textId="739606A1" w:rsidR="002156A7" w:rsidRDefault="00060FA6">
          <w:pPr>
            <w:pStyle w:val="TDC2"/>
            <w:rPr>
              <w:rFonts w:asciiTheme="minorHAnsi" w:eastAsiaTheme="minorEastAsia" w:hAnsiTheme="minorHAnsi" w:cstheme="minorBidi"/>
              <w:noProof/>
              <w:sz w:val="22"/>
              <w:szCs w:val="22"/>
              <w:lang w:val="en-US" w:eastAsia="en-US"/>
            </w:rPr>
          </w:pPr>
          <w:hyperlink w:anchor="_Toc27405443" w:history="1">
            <w:r w:rsidR="002156A7" w:rsidRPr="003A5388">
              <w:rPr>
                <w:rStyle w:val="Hipervnculo"/>
                <w:noProof/>
              </w:rPr>
              <w:t>A.</w:t>
            </w:r>
            <w:r w:rsidR="002156A7">
              <w:rPr>
                <w:rFonts w:asciiTheme="minorHAnsi" w:eastAsiaTheme="minorEastAsia" w:hAnsiTheme="minorHAnsi" w:cstheme="minorBidi"/>
                <w:noProof/>
                <w:sz w:val="22"/>
                <w:szCs w:val="22"/>
                <w:lang w:val="en-US" w:eastAsia="en-US"/>
              </w:rPr>
              <w:tab/>
            </w:r>
            <w:r w:rsidR="002156A7" w:rsidRPr="003A5388">
              <w:rPr>
                <w:rStyle w:val="Hipervnculo"/>
                <w:noProof/>
              </w:rPr>
              <w:t xml:space="preserve"> Parte lesionada</w:t>
            </w:r>
            <w:r w:rsidR="002156A7">
              <w:rPr>
                <w:noProof/>
                <w:webHidden/>
              </w:rPr>
              <w:tab/>
            </w:r>
            <w:r w:rsidR="002156A7">
              <w:rPr>
                <w:noProof/>
                <w:webHidden/>
              </w:rPr>
              <w:fldChar w:fldCharType="begin"/>
            </w:r>
            <w:r w:rsidR="002156A7">
              <w:rPr>
                <w:noProof/>
                <w:webHidden/>
              </w:rPr>
              <w:instrText xml:space="preserve"> PAGEREF _Toc27405443 \h </w:instrText>
            </w:r>
            <w:r w:rsidR="002156A7">
              <w:rPr>
                <w:noProof/>
                <w:webHidden/>
              </w:rPr>
            </w:r>
            <w:r w:rsidR="002156A7">
              <w:rPr>
                <w:noProof/>
                <w:webHidden/>
              </w:rPr>
              <w:fldChar w:fldCharType="separate"/>
            </w:r>
            <w:r w:rsidR="00AB5EBB">
              <w:rPr>
                <w:noProof/>
                <w:webHidden/>
              </w:rPr>
              <w:t>33</w:t>
            </w:r>
            <w:r w:rsidR="002156A7">
              <w:rPr>
                <w:noProof/>
                <w:webHidden/>
              </w:rPr>
              <w:fldChar w:fldCharType="end"/>
            </w:r>
          </w:hyperlink>
        </w:p>
        <w:p w14:paraId="0C04C52B" w14:textId="7629DECD" w:rsidR="002156A7" w:rsidRDefault="00060FA6">
          <w:pPr>
            <w:pStyle w:val="TDC2"/>
            <w:rPr>
              <w:rFonts w:asciiTheme="minorHAnsi" w:eastAsiaTheme="minorEastAsia" w:hAnsiTheme="minorHAnsi" w:cstheme="minorBidi"/>
              <w:noProof/>
              <w:sz w:val="22"/>
              <w:szCs w:val="22"/>
              <w:lang w:val="en-US" w:eastAsia="en-US"/>
            </w:rPr>
          </w:pPr>
          <w:hyperlink w:anchor="_Toc27405444" w:history="1">
            <w:r w:rsidR="002156A7" w:rsidRPr="003A5388">
              <w:rPr>
                <w:rStyle w:val="Hipervnculo"/>
                <w:noProof/>
              </w:rPr>
              <w:t>B.</w:t>
            </w:r>
            <w:r w:rsidR="002156A7">
              <w:rPr>
                <w:rFonts w:asciiTheme="minorHAnsi" w:eastAsiaTheme="minorEastAsia" w:hAnsiTheme="minorHAnsi" w:cstheme="minorBidi"/>
                <w:noProof/>
                <w:sz w:val="22"/>
                <w:szCs w:val="22"/>
                <w:lang w:val="en-US" w:eastAsia="en-US"/>
              </w:rPr>
              <w:tab/>
            </w:r>
            <w:r w:rsidR="002156A7" w:rsidRPr="003A5388">
              <w:rPr>
                <w:rStyle w:val="Hipervnculo"/>
                <w:noProof/>
              </w:rPr>
              <w:t xml:space="preserve"> Medidas de rehabilitación y satisfacción</w:t>
            </w:r>
            <w:r w:rsidR="002156A7">
              <w:rPr>
                <w:noProof/>
                <w:webHidden/>
              </w:rPr>
              <w:tab/>
            </w:r>
            <w:r w:rsidR="002156A7">
              <w:rPr>
                <w:noProof/>
                <w:webHidden/>
              </w:rPr>
              <w:fldChar w:fldCharType="begin"/>
            </w:r>
            <w:r w:rsidR="002156A7">
              <w:rPr>
                <w:noProof/>
                <w:webHidden/>
              </w:rPr>
              <w:instrText xml:space="preserve"> PAGEREF _Toc27405444 \h </w:instrText>
            </w:r>
            <w:r w:rsidR="002156A7">
              <w:rPr>
                <w:noProof/>
                <w:webHidden/>
              </w:rPr>
            </w:r>
            <w:r w:rsidR="002156A7">
              <w:rPr>
                <w:noProof/>
                <w:webHidden/>
              </w:rPr>
              <w:fldChar w:fldCharType="separate"/>
            </w:r>
            <w:r w:rsidR="00AB5EBB">
              <w:rPr>
                <w:noProof/>
                <w:webHidden/>
              </w:rPr>
              <w:t>33</w:t>
            </w:r>
            <w:r w:rsidR="002156A7">
              <w:rPr>
                <w:noProof/>
                <w:webHidden/>
              </w:rPr>
              <w:fldChar w:fldCharType="end"/>
            </w:r>
          </w:hyperlink>
        </w:p>
        <w:p w14:paraId="2E0CC010" w14:textId="4A5176D5" w:rsidR="002156A7" w:rsidRDefault="00060FA6">
          <w:pPr>
            <w:pStyle w:val="TDC3"/>
            <w:rPr>
              <w:rFonts w:asciiTheme="minorHAnsi" w:eastAsiaTheme="minorEastAsia" w:hAnsiTheme="minorHAnsi" w:cstheme="minorBidi"/>
              <w:noProof/>
              <w:sz w:val="22"/>
              <w:szCs w:val="22"/>
              <w:lang w:val="en-US" w:eastAsia="en-US"/>
            </w:rPr>
          </w:pPr>
          <w:hyperlink w:anchor="_Toc27405445" w:history="1">
            <w:r w:rsidR="002156A7" w:rsidRPr="003A5388">
              <w:rPr>
                <w:rStyle w:val="Hipervnculo"/>
                <w:noProof/>
              </w:rPr>
              <w:t>b.1 Medidas de rehabilitación</w:t>
            </w:r>
            <w:r w:rsidR="002156A7">
              <w:rPr>
                <w:noProof/>
                <w:webHidden/>
              </w:rPr>
              <w:tab/>
            </w:r>
            <w:r w:rsidR="002156A7">
              <w:rPr>
                <w:noProof/>
                <w:webHidden/>
              </w:rPr>
              <w:fldChar w:fldCharType="begin"/>
            </w:r>
            <w:r w:rsidR="002156A7">
              <w:rPr>
                <w:noProof/>
                <w:webHidden/>
              </w:rPr>
              <w:instrText xml:space="preserve"> PAGEREF _Toc27405445 \h </w:instrText>
            </w:r>
            <w:r w:rsidR="002156A7">
              <w:rPr>
                <w:noProof/>
                <w:webHidden/>
              </w:rPr>
            </w:r>
            <w:r w:rsidR="002156A7">
              <w:rPr>
                <w:noProof/>
                <w:webHidden/>
              </w:rPr>
              <w:fldChar w:fldCharType="separate"/>
            </w:r>
            <w:r w:rsidR="00AB5EBB">
              <w:rPr>
                <w:noProof/>
                <w:webHidden/>
              </w:rPr>
              <w:t>33</w:t>
            </w:r>
            <w:r w:rsidR="002156A7">
              <w:rPr>
                <w:noProof/>
                <w:webHidden/>
              </w:rPr>
              <w:fldChar w:fldCharType="end"/>
            </w:r>
          </w:hyperlink>
        </w:p>
        <w:p w14:paraId="3A30FD8E" w14:textId="26D89675" w:rsidR="002156A7" w:rsidRDefault="00060FA6">
          <w:pPr>
            <w:pStyle w:val="TDC3"/>
            <w:rPr>
              <w:rFonts w:asciiTheme="minorHAnsi" w:eastAsiaTheme="minorEastAsia" w:hAnsiTheme="minorHAnsi" w:cstheme="minorBidi"/>
              <w:noProof/>
              <w:sz w:val="22"/>
              <w:szCs w:val="22"/>
              <w:lang w:val="en-US" w:eastAsia="en-US"/>
            </w:rPr>
          </w:pPr>
          <w:hyperlink w:anchor="_Toc27405446" w:history="1">
            <w:r w:rsidR="002156A7" w:rsidRPr="003A5388">
              <w:rPr>
                <w:rStyle w:val="Hipervnculo"/>
                <w:noProof/>
              </w:rPr>
              <w:t>b.2 Medidas de satisfacción</w:t>
            </w:r>
            <w:r w:rsidR="002156A7">
              <w:rPr>
                <w:noProof/>
                <w:webHidden/>
              </w:rPr>
              <w:tab/>
            </w:r>
            <w:r w:rsidR="002156A7">
              <w:rPr>
                <w:noProof/>
                <w:webHidden/>
              </w:rPr>
              <w:fldChar w:fldCharType="begin"/>
            </w:r>
            <w:r w:rsidR="002156A7">
              <w:rPr>
                <w:noProof/>
                <w:webHidden/>
              </w:rPr>
              <w:instrText xml:space="preserve"> PAGEREF _Toc27405446 \h </w:instrText>
            </w:r>
            <w:r w:rsidR="002156A7">
              <w:rPr>
                <w:noProof/>
                <w:webHidden/>
              </w:rPr>
            </w:r>
            <w:r w:rsidR="002156A7">
              <w:rPr>
                <w:noProof/>
                <w:webHidden/>
              </w:rPr>
              <w:fldChar w:fldCharType="separate"/>
            </w:r>
            <w:r w:rsidR="00AB5EBB">
              <w:rPr>
                <w:noProof/>
                <w:webHidden/>
              </w:rPr>
              <w:t>34</w:t>
            </w:r>
            <w:r w:rsidR="002156A7">
              <w:rPr>
                <w:noProof/>
                <w:webHidden/>
              </w:rPr>
              <w:fldChar w:fldCharType="end"/>
            </w:r>
          </w:hyperlink>
        </w:p>
        <w:p w14:paraId="047BFEF7" w14:textId="47814CE4" w:rsidR="002156A7" w:rsidRDefault="00060FA6">
          <w:pPr>
            <w:pStyle w:val="TDC2"/>
            <w:rPr>
              <w:rFonts w:asciiTheme="minorHAnsi" w:eastAsiaTheme="minorEastAsia" w:hAnsiTheme="minorHAnsi" w:cstheme="minorBidi"/>
              <w:noProof/>
              <w:sz w:val="22"/>
              <w:szCs w:val="22"/>
              <w:lang w:val="en-US" w:eastAsia="en-US"/>
            </w:rPr>
          </w:pPr>
          <w:hyperlink w:anchor="_Toc27405447" w:history="1">
            <w:r w:rsidR="002156A7" w:rsidRPr="003A5388">
              <w:rPr>
                <w:rStyle w:val="Hipervnculo"/>
                <w:noProof/>
              </w:rPr>
              <w:t>C. Otras medidas solicitadas</w:t>
            </w:r>
            <w:r w:rsidR="002156A7">
              <w:rPr>
                <w:noProof/>
                <w:webHidden/>
              </w:rPr>
              <w:tab/>
            </w:r>
            <w:r w:rsidR="002156A7">
              <w:rPr>
                <w:noProof/>
                <w:webHidden/>
              </w:rPr>
              <w:fldChar w:fldCharType="begin"/>
            </w:r>
            <w:r w:rsidR="002156A7">
              <w:rPr>
                <w:noProof/>
                <w:webHidden/>
              </w:rPr>
              <w:instrText xml:space="preserve"> PAGEREF _Toc27405447 \h </w:instrText>
            </w:r>
            <w:r w:rsidR="002156A7">
              <w:rPr>
                <w:noProof/>
                <w:webHidden/>
              </w:rPr>
            </w:r>
            <w:r w:rsidR="002156A7">
              <w:rPr>
                <w:noProof/>
                <w:webHidden/>
              </w:rPr>
              <w:fldChar w:fldCharType="separate"/>
            </w:r>
            <w:r w:rsidR="00AB5EBB">
              <w:rPr>
                <w:noProof/>
                <w:webHidden/>
              </w:rPr>
              <w:t>34</w:t>
            </w:r>
            <w:r w:rsidR="002156A7">
              <w:rPr>
                <w:noProof/>
                <w:webHidden/>
              </w:rPr>
              <w:fldChar w:fldCharType="end"/>
            </w:r>
          </w:hyperlink>
        </w:p>
        <w:p w14:paraId="23F0FD0F" w14:textId="455F1BAE" w:rsidR="002156A7" w:rsidRDefault="00060FA6">
          <w:pPr>
            <w:pStyle w:val="TDC2"/>
            <w:rPr>
              <w:rFonts w:asciiTheme="minorHAnsi" w:eastAsiaTheme="minorEastAsia" w:hAnsiTheme="minorHAnsi" w:cstheme="minorBidi"/>
              <w:noProof/>
              <w:sz w:val="22"/>
              <w:szCs w:val="22"/>
              <w:lang w:val="en-US" w:eastAsia="en-US"/>
            </w:rPr>
          </w:pPr>
          <w:hyperlink w:anchor="_Toc27405448" w:history="1">
            <w:r w:rsidR="002156A7" w:rsidRPr="003A5388">
              <w:rPr>
                <w:rStyle w:val="Hipervnculo"/>
                <w:noProof/>
              </w:rPr>
              <w:t>D. Indemnizaciones compensatorias</w:t>
            </w:r>
            <w:r w:rsidR="002156A7">
              <w:rPr>
                <w:noProof/>
                <w:webHidden/>
              </w:rPr>
              <w:tab/>
            </w:r>
            <w:r w:rsidR="002156A7">
              <w:rPr>
                <w:noProof/>
                <w:webHidden/>
              </w:rPr>
              <w:fldChar w:fldCharType="begin"/>
            </w:r>
            <w:r w:rsidR="002156A7">
              <w:rPr>
                <w:noProof/>
                <w:webHidden/>
              </w:rPr>
              <w:instrText xml:space="preserve"> PAGEREF _Toc27405448 \h </w:instrText>
            </w:r>
            <w:r w:rsidR="002156A7">
              <w:rPr>
                <w:noProof/>
                <w:webHidden/>
              </w:rPr>
            </w:r>
            <w:r w:rsidR="002156A7">
              <w:rPr>
                <w:noProof/>
                <w:webHidden/>
              </w:rPr>
              <w:fldChar w:fldCharType="separate"/>
            </w:r>
            <w:r w:rsidR="00AB5EBB">
              <w:rPr>
                <w:noProof/>
                <w:webHidden/>
              </w:rPr>
              <w:t>36</w:t>
            </w:r>
            <w:r w:rsidR="002156A7">
              <w:rPr>
                <w:noProof/>
                <w:webHidden/>
              </w:rPr>
              <w:fldChar w:fldCharType="end"/>
            </w:r>
          </w:hyperlink>
        </w:p>
        <w:p w14:paraId="6F28EC2F" w14:textId="10CB899E" w:rsidR="002156A7" w:rsidRDefault="00060FA6">
          <w:pPr>
            <w:pStyle w:val="TDC3"/>
            <w:rPr>
              <w:rFonts w:asciiTheme="minorHAnsi" w:eastAsiaTheme="minorEastAsia" w:hAnsiTheme="minorHAnsi" w:cstheme="minorBidi"/>
              <w:noProof/>
              <w:sz w:val="22"/>
              <w:szCs w:val="22"/>
              <w:lang w:val="en-US" w:eastAsia="en-US"/>
            </w:rPr>
          </w:pPr>
          <w:hyperlink w:anchor="_Toc27405449" w:history="1">
            <w:r w:rsidR="002156A7" w:rsidRPr="003A5388">
              <w:rPr>
                <w:rStyle w:val="Hipervnculo"/>
                <w:noProof/>
              </w:rPr>
              <w:t>d.1 Daño material</w:t>
            </w:r>
            <w:r w:rsidR="002156A7">
              <w:rPr>
                <w:noProof/>
                <w:webHidden/>
              </w:rPr>
              <w:tab/>
            </w:r>
            <w:r w:rsidR="002156A7">
              <w:rPr>
                <w:noProof/>
                <w:webHidden/>
              </w:rPr>
              <w:fldChar w:fldCharType="begin"/>
            </w:r>
            <w:r w:rsidR="002156A7">
              <w:rPr>
                <w:noProof/>
                <w:webHidden/>
              </w:rPr>
              <w:instrText xml:space="preserve"> PAGEREF _Toc27405449 \h </w:instrText>
            </w:r>
            <w:r w:rsidR="002156A7">
              <w:rPr>
                <w:noProof/>
                <w:webHidden/>
              </w:rPr>
            </w:r>
            <w:r w:rsidR="002156A7">
              <w:rPr>
                <w:noProof/>
                <w:webHidden/>
              </w:rPr>
              <w:fldChar w:fldCharType="separate"/>
            </w:r>
            <w:r w:rsidR="00AB5EBB">
              <w:rPr>
                <w:noProof/>
                <w:webHidden/>
              </w:rPr>
              <w:t>36</w:t>
            </w:r>
            <w:r w:rsidR="002156A7">
              <w:rPr>
                <w:noProof/>
                <w:webHidden/>
              </w:rPr>
              <w:fldChar w:fldCharType="end"/>
            </w:r>
          </w:hyperlink>
        </w:p>
        <w:p w14:paraId="0FF9A8B6" w14:textId="083CD830" w:rsidR="002156A7" w:rsidRDefault="00060FA6">
          <w:pPr>
            <w:pStyle w:val="TDC3"/>
            <w:rPr>
              <w:rFonts w:asciiTheme="minorHAnsi" w:eastAsiaTheme="minorEastAsia" w:hAnsiTheme="minorHAnsi" w:cstheme="minorBidi"/>
              <w:noProof/>
              <w:sz w:val="22"/>
              <w:szCs w:val="22"/>
              <w:lang w:val="en-US" w:eastAsia="en-US"/>
            </w:rPr>
          </w:pPr>
          <w:hyperlink w:anchor="_Toc27405450" w:history="1">
            <w:r w:rsidR="002156A7" w:rsidRPr="003A5388">
              <w:rPr>
                <w:rStyle w:val="Hipervnculo"/>
                <w:noProof/>
              </w:rPr>
              <w:t>d.2 Daño inmaterial</w:t>
            </w:r>
            <w:r w:rsidR="002156A7">
              <w:rPr>
                <w:noProof/>
                <w:webHidden/>
              </w:rPr>
              <w:tab/>
            </w:r>
            <w:r w:rsidR="002156A7">
              <w:rPr>
                <w:noProof/>
                <w:webHidden/>
              </w:rPr>
              <w:fldChar w:fldCharType="begin"/>
            </w:r>
            <w:r w:rsidR="002156A7">
              <w:rPr>
                <w:noProof/>
                <w:webHidden/>
              </w:rPr>
              <w:instrText xml:space="preserve"> PAGEREF _Toc27405450 \h </w:instrText>
            </w:r>
            <w:r w:rsidR="002156A7">
              <w:rPr>
                <w:noProof/>
                <w:webHidden/>
              </w:rPr>
            </w:r>
            <w:r w:rsidR="002156A7">
              <w:rPr>
                <w:noProof/>
                <w:webHidden/>
              </w:rPr>
              <w:fldChar w:fldCharType="separate"/>
            </w:r>
            <w:r w:rsidR="00AB5EBB">
              <w:rPr>
                <w:noProof/>
                <w:webHidden/>
              </w:rPr>
              <w:t>37</w:t>
            </w:r>
            <w:r w:rsidR="002156A7">
              <w:rPr>
                <w:noProof/>
                <w:webHidden/>
              </w:rPr>
              <w:fldChar w:fldCharType="end"/>
            </w:r>
          </w:hyperlink>
        </w:p>
        <w:p w14:paraId="77C9F54D" w14:textId="72F7B23A" w:rsidR="002156A7" w:rsidRDefault="00060FA6">
          <w:pPr>
            <w:pStyle w:val="TDC2"/>
            <w:rPr>
              <w:rFonts w:asciiTheme="minorHAnsi" w:eastAsiaTheme="minorEastAsia" w:hAnsiTheme="minorHAnsi" w:cstheme="minorBidi"/>
              <w:noProof/>
              <w:sz w:val="22"/>
              <w:szCs w:val="22"/>
              <w:lang w:val="en-US" w:eastAsia="en-US"/>
            </w:rPr>
          </w:pPr>
          <w:hyperlink w:anchor="_Toc27405451" w:history="1">
            <w:r w:rsidR="002156A7" w:rsidRPr="003A5388">
              <w:rPr>
                <w:rStyle w:val="Hipervnculo"/>
                <w:noProof/>
              </w:rPr>
              <w:t>G. Costas y gastos</w:t>
            </w:r>
            <w:r w:rsidR="002156A7">
              <w:rPr>
                <w:noProof/>
                <w:webHidden/>
              </w:rPr>
              <w:tab/>
            </w:r>
            <w:r w:rsidR="002156A7">
              <w:rPr>
                <w:noProof/>
                <w:webHidden/>
              </w:rPr>
              <w:fldChar w:fldCharType="begin"/>
            </w:r>
            <w:r w:rsidR="002156A7">
              <w:rPr>
                <w:noProof/>
                <w:webHidden/>
              </w:rPr>
              <w:instrText xml:space="preserve"> PAGEREF _Toc27405451 \h </w:instrText>
            </w:r>
            <w:r w:rsidR="002156A7">
              <w:rPr>
                <w:noProof/>
                <w:webHidden/>
              </w:rPr>
            </w:r>
            <w:r w:rsidR="002156A7">
              <w:rPr>
                <w:noProof/>
                <w:webHidden/>
              </w:rPr>
              <w:fldChar w:fldCharType="separate"/>
            </w:r>
            <w:r w:rsidR="00AB5EBB">
              <w:rPr>
                <w:noProof/>
                <w:webHidden/>
              </w:rPr>
              <w:t>38</w:t>
            </w:r>
            <w:r w:rsidR="002156A7">
              <w:rPr>
                <w:noProof/>
                <w:webHidden/>
              </w:rPr>
              <w:fldChar w:fldCharType="end"/>
            </w:r>
          </w:hyperlink>
        </w:p>
        <w:p w14:paraId="19D48B1A" w14:textId="176EC8DB" w:rsidR="002156A7" w:rsidRDefault="00060FA6">
          <w:pPr>
            <w:pStyle w:val="TDC2"/>
            <w:rPr>
              <w:rFonts w:asciiTheme="minorHAnsi" w:eastAsiaTheme="minorEastAsia" w:hAnsiTheme="minorHAnsi" w:cstheme="minorBidi"/>
              <w:noProof/>
              <w:sz w:val="22"/>
              <w:szCs w:val="22"/>
              <w:lang w:val="en-US" w:eastAsia="en-US"/>
            </w:rPr>
          </w:pPr>
          <w:hyperlink w:anchor="_Toc27405452" w:history="1">
            <w:r w:rsidR="002156A7" w:rsidRPr="003A5388">
              <w:rPr>
                <w:rStyle w:val="Hipervnculo"/>
                <w:noProof/>
              </w:rPr>
              <w:t>H. Reintegro de los gastos al Fondo de Asistencia Legal de Víctimas de la Corte Interamericana</w:t>
            </w:r>
            <w:r w:rsidR="002156A7">
              <w:rPr>
                <w:noProof/>
                <w:webHidden/>
              </w:rPr>
              <w:tab/>
            </w:r>
            <w:r w:rsidR="002156A7">
              <w:rPr>
                <w:noProof/>
                <w:webHidden/>
              </w:rPr>
              <w:fldChar w:fldCharType="begin"/>
            </w:r>
            <w:r w:rsidR="002156A7">
              <w:rPr>
                <w:noProof/>
                <w:webHidden/>
              </w:rPr>
              <w:instrText xml:space="preserve"> PAGEREF _Toc27405452 \h </w:instrText>
            </w:r>
            <w:r w:rsidR="002156A7">
              <w:rPr>
                <w:noProof/>
                <w:webHidden/>
              </w:rPr>
            </w:r>
            <w:r w:rsidR="002156A7">
              <w:rPr>
                <w:noProof/>
                <w:webHidden/>
              </w:rPr>
              <w:fldChar w:fldCharType="separate"/>
            </w:r>
            <w:r w:rsidR="00AB5EBB">
              <w:rPr>
                <w:noProof/>
                <w:webHidden/>
              </w:rPr>
              <w:t>40</w:t>
            </w:r>
            <w:r w:rsidR="002156A7">
              <w:rPr>
                <w:noProof/>
                <w:webHidden/>
              </w:rPr>
              <w:fldChar w:fldCharType="end"/>
            </w:r>
          </w:hyperlink>
        </w:p>
        <w:p w14:paraId="09E92F4D" w14:textId="2787BAF2" w:rsidR="002156A7" w:rsidRDefault="00060FA6">
          <w:pPr>
            <w:pStyle w:val="TDC2"/>
            <w:rPr>
              <w:rFonts w:asciiTheme="minorHAnsi" w:eastAsiaTheme="minorEastAsia" w:hAnsiTheme="minorHAnsi" w:cstheme="minorBidi"/>
              <w:noProof/>
              <w:sz w:val="22"/>
              <w:szCs w:val="22"/>
              <w:lang w:val="en-US" w:eastAsia="en-US"/>
            </w:rPr>
          </w:pPr>
          <w:hyperlink w:anchor="_Toc27405453" w:history="1">
            <w:r w:rsidR="002156A7" w:rsidRPr="003A5388">
              <w:rPr>
                <w:rStyle w:val="Hipervnculo"/>
                <w:noProof/>
              </w:rPr>
              <w:t>I.</w:t>
            </w:r>
            <w:r w:rsidR="002156A7">
              <w:rPr>
                <w:rFonts w:asciiTheme="minorHAnsi" w:eastAsiaTheme="minorEastAsia" w:hAnsiTheme="minorHAnsi" w:cstheme="minorBidi"/>
                <w:noProof/>
                <w:sz w:val="22"/>
                <w:szCs w:val="22"/>
                <w:lang w:val="en-US" w:eastAsia="en-US"/>
              </w:rPr>
              <w:tab/>
            </w:r>
            <w:r w:rsidR="002156A7" w:rsidRPr="003A5388">
              <w:rPr>
                <w:rStyle w:val="Hipervnculo"/>
                <w:noProof/>
              </w:rPr>
              <w:t xml:space="preserve"> Modalidad de cumplimiento de los pagos ordenados</w:t>
            </w:r>
            <w:r w:rsidR="002156A7">
              <w:rPr>
                <w:noProof/>
                <w:webHidden/>
              </w:rPr>
              <w:tab/>
            </w:r>
            <w:r w:rsidR="002156A7">
              <w:rPr>
                <w:noProof/>
                <w:webHidden/>
              </w:rPr>
              <w:fldChar w:fldCharType="begin"/>
            </w:r>
            <w:r w:rsidR="002156A7">
              <w:rPr>
                <w:noProof/>
                <w:webHidden/>
              </w:rPr>
              <w:instrText xml:space="preserve"> PAGEREF _Toc27405453 \h </w:instrText>
            </w:r>
            <w:r w:rsidR="002156A7">
              <w:rPr>
                <w:noProof/>
                <w:webHidden/>
              </w:rPr>
            </w:r>
            <w:r w:rsidR="002156A7">
              <w:rPr>
                <w:noProof/>
                <w:webHidden/>
              </w:rPr>
              <w:fldChar w:fldCharType="separate"/>
            </w:r>
            <w:r w:rsidR="00AB5EBB">
              <w:rPr>
                <w:noProof/>
                <w:webHidden/>
              </w:rPr>
              <w:t>40</w:t>
            </w:r>
            <w:r w:rsidR="002156A7">
              <w:rPr>
                <w:noProof/>
                <w:webHidden/>
              </w:rPr>
              <w:fldChar w:fldCharType="end"/>
            </w:r>
          </w:hyperlink>
        </w:p>
        <w:p w14:paraId="51C8620E" w14:textId="49D3750D" w:rsidR="002156A7" w:rsidRDefault="00060FA6">
          <w:pPr>
            <w:pStyle w:val="TDC1"/>
            <w:rPr>
              <w:rFonts w:asciiTheme="minorHAnsi" w:eastAsiaTheme="minorEastAsia" w:hAnsiTheme="minorHAnsi" w:cstheme="minorBidi"/>
              <w:b w:val="0"/>
              <w:sz w:val="22"/>
              <w:szCs w:val="22"/>
              <w:lang w:val="en-US" w:eastAsia="en-US"/>
            </w:rPr>
          </w:pPr>
          <w:hyperlink w:anchor="_Toc27405454" w:history="1">
            <w:r w:rsidR="002156A7" w:rsidRPr="003A5388">
              <w:rPr>
                <w:rStyle w:val="Hipervnculo"/>
              </w:rPr>
              <w:t>X PUNTOS RESOLUTIVOS</w:t>
            </w:r>
            <w:r w:rsidR="002156A7">
              <w:rPr>
                <w:webHidden/>
              </w:rPr>
              <w:tab/>
            </w:r>
            <w:r w:rsidR="002156A7">
              <w:rPr>
                <w:webHidden/>
              </w:rPr>
              <w:fldChar w:fldCharType="begin"/>
            </w:r>
            <w:r w:rsidR="002156A7">
              <w:rPr>
                <w:webHidden/>
              </w:rPr>
              <w:instrText xml:space="preserve"> PAGEREF _Toc27405454 \h </w:instrText>
            </w:r>
            <w:r w:rsidR="002156A7">
              <w:rPr>
                <w:webHidden/>
              </w:rPr>
            </w:r>
            <w:r w:rsidR="002156A7">
              <w:rPr>
                <w:webHidden/>
              </w:rPr>
              <w:fldChar w:fldCharType="separate"/>
            </w:r>
            <w:r w:rsidR="00AB5EBB">
              <w:rPr>
                <w:webHidden/>
              </w:rPr>
              <w:t>41</w:t>
            </w:r>
            <w:r w:rsidR="002156A7">
              <w:rPr>
                <w:webHidden/>
              </w:rPr>
              <w:fldChar w:fldCharType="end"/>
            </w:r>
          </w:hyperlink>
        </w:p>
        <w:p w14:paraId="7D7D0FEB" w14:textId="77777777" w:rsidR="00467516" w:rsidRPr="00F0074A" w:rsidRDefault="00467516" w:rsidP="00E06F63">
          <w:r w:rsidRPr="007A57CF">
            <w:rPr>
              <w:b/>
              <w:bCs/>
              <w:noProof/>
            </w:rPr>
            <w:fldChar w:fldCharType="end"/>
          </w:r>
        </w:p>
      </w:sdtContent>
    </w:sdt>
    <w:p w14:paraId="41D8B2F7" w14:textId="77777777" w:rsidR="00912D70" w:rsidRPr="00F0074A" w:rsidRDefault="00912D70" w:rsidP="00E06F63">
      <w:pPr>
        <w:widowControl/>
        <w:adjustRightInd/>
        <w:spacing w:after="160" w:line="259" w:lineRule="auto"/>
        <w:textAlignment w:val="auto"/>
        <w:rPr>
          <w:rFonts w:cs="Verdana"/>
          <w:b/>
          <w:bCs/>
          <w:caps/>
          <w:snapToGrid w:val="0"/>
        </w:rPr>
      </w:pPr>
      <w:r w:rsidRPr="00F0074A">
        <w:br w:type="page"/>
      </w:r>
    </w:p>
    <w:p w14:paraId="31568CAA" w14:textId="77777777" w:rsidR="00951F92" w:rsidRPr="00F0074A" w:rsidRDefault="00951F92" w:rsidP="0010568E">
      <w:pPr>
        <w:pStyle w:val="Ttulo1"/>
      </w:pPr>
      <w:bookmarkStart w:id="1" w:name="_Toc19138544"/>
      <w:bookmarkStart w:id="2" w:name="_Toc27405396"/>
      <w:bookmarkStart w:id="3" w:name="_Toc375062713"/>
      <w:bookmarkStart w:id="4" w:name="_Toc375140863"/>
      <w:bookmarkStart w:id="5" w:name="_Toc375504822"/>
      <w:bookmarkStart w:id="6" w:name="_Toc375560896"/>
      <w:bookmarkStart w:id="7" w:name="_Toc428369979"/>
      <w:bookmarkStart w:id="8" w:name="_Toc459158095"/>
      <w:bookmarkStart w:id="9" w:name="_Toc401931881"/>
      <w:bookmarkStart w:id="10" w:name="_Toc470180035"/>
      <w:bookmarkStart w:id="11" w:name="_Toc495658648"/>
      <w:r w:rsidRPr="00F0074A">
        <w:lastRenderedPageBreak/>
        <w:t>I</w:t>
      </w:r>
      <w:r w:rsidRPr="00F0074A">
        <w:br/>
        <w:t>INTRODUCCIÓN DE LA CAUSA Y OBJETO DE LA CONTROVERSIA</w:t>
      </w:r>
      <w:bookmarkEnd w:id="1"/>
      <w:bookmarkEnd w:id="2"/>
    </w:p>
    <w:p w14:paraId="605F34EA" w14:textId="77777777" w:rsidR="00951F92" w:rsidRPr="00F0074A" w:rsidRDefault="00951F92" w:rsidP="00E06F63">
      <w:pPr>
        <w:numPr>
          <w:ilvl w:val="0"/>
          <w:numId w:val="11"/>
        </w:numPr>
        <w:tabs>
          <w:tab w:val="left" w:pos="567"/>
          <w:tab w:val="num" w:pos="1569"/>
          <w:tab w:val="num" w:pos="12305"/>
        </w:tabs>
        <w:spacing w:line="240" w:lineRule="auto"/>
        <w:ind w:left="0" w:firstLine="0"/>
        <w:rPr>
          <w:rFonts w:eastAsiaTheme="minorHAnsi"/>
          <w:lang w:eastAsia="en-US"/>
        </w:rPr>
      </w:pPr>
      <w:r w:rsidRPr="00F0074A">
        <w:rPr>
          <w:i/>
        </w:rPr>
        <w:t>El caso sometido a la Corte</w:t>
      </w:r>
      <w:r w:rsidRPr="00F0074A">
        <w:t>. – El 22 de septiembre de 2017 la Comisión Interamericana de Derechos Humanos (en adelante “la Comisión Interamericana” o “la Comisión”) sometió a la jurisdicción de la Corte Interamericana el caso “Gabriel Oscar Jenkins” contra la República de Argentina (en adelante “el Estado de Argentina”, “el Estado argentino”, “el Estado” o “Argentina”). De acuerdo con lo indicado por la Comisión, el caso se relaciona con la alegada privación arbitraria de la libertad del señor Jenkins desde el 8 de junio de 1994 hasta el 13 de noviembre de 1997</w:t>
      </w:r>
      <w:r w:rsidRPr="00F0074A">
        <w:rPr>
          <w:rFonts w:eastAsia="Times"/>
        </w:rPr>
        <w:t xml:space="preserve"> </w:t>
      </w:r>
      <w:r w:rsidRPr="00F0074A">
        <w:t xml:space="preserve">en el marco de la causa conocida como “Padilla Echeverry y otros” seguida por el Tribunal Oral en lo Criminal Federal No. 6 por los delitos de tráfico ilícito de estupefacientes y asociación ilícita, de los cuales fue finalmente absuelto. </w:t>
      </w:r>
      <w:r w:rsidRPr="00F0074A">
        <w:rPr>
          <w:rFonts w:cs="Arial"/>
        </w:rPr>
        <w:t>Asimismo, la Comisión estableció que durante el tiempo en que el señor Jenkins estuvo privado de libertad, no se realizó ninguna revisión de su detención preventiva y la necesidad de mantenerla. Agregó que los recursos judiciales interpuestos no posibilitaron una revisión sin demora y efectiva tanto de la motivación como de la duración de la detención preventiva. Finalmente, la Comisión concluyó que la acción civil de daños y perjuicios interpuesta por el señor Jenkins tuvo una duración irrazonable.</w:t>
      </w:r>
    </w:p>
    <w:p w14:paraId="3F7DE912" w14:textId="77777777" w:rsidR="00951F92" w:rsidRPr="00F0074A" w:rsidRDefault="00951F92" w:rsidP="00E06F63">
      <w:pPr>
        <w:pStyle w:val="Prrafodelista"/>
        <w:spacing w:line="240" w:lineRule="auto"/>
        <w:ind w:left="0"/>
      </w:pPr>
    </w:p>
    <w:p w14:paraId="5C633F3D" w14:textId="77777777" w:rsidR="00951F92" w:rsidRPr="00F0074A" w:rsidRDefault="00951F92" w:rsidP="00E06F63">
      <w:pPr>
        <w:numPr>
          <w:ilvl w:val="0"/>
          <w:numId w:val="11"/>
        </w:numPr>
        <w:tabs>
          <w:tab w:val="left" w:pos="567"/>
          <w:tab w:val="num" w:pos="1569"/>
          <w:tab w:val="num" w:pos="12305"/>
        </w:tabs>
        <w:spacing w:line="240" w:lineRule="auto"/>
        <w:ind w:left="0" w:firstLine="0"/>
      </w:pPr>
      <w:bookmarkStart w:id="12" w:name="_Ref15466599"/>
      <w:r w:rsidRPr="00F0074A">
        <w:rPr>
          <w:i/>
        </w:rPr>
        <w:t>Trámite ante la Comisión.</w:t>
      </w:r>
      <w:r w:rsidRPr="00F0074A">
        <w:t xml:space="preserve"> – El trámite ante la Comisión fue el siguiente:</w:t>
      </w:r>
      <w:bookmarkEnd w:id="12"/>
    </w:p>
    <w:p w14:paraId="667DEFFC" w14:textId="77777777" w:rsidR="00951F92" w:rsidRPr="00F0074A" w:rsidRDefault="00951F92" w:rsidP="00E06F63">
      <w:pPr>
        <w:pStyle w:val="Prrafodelista"/>
        <w:spacing w:line="240" w:lineRule="auto"/>
      </w:pPr>
    </w:p>
    <w:p w14:paraId="086C74CF" w14:textId="6223889C" w:rsidR="00951F92" w:rsidRPr="00F0074A" w:rsidRDefault="00951F92" w:rsidP="00E06F63">
      <w:pPr>
        <w:pStyle w:val="Prrafodelista"/>
        <w:widowControl/>
        <w:numPr>
          <w:ilvl w:val="0"/>
          <w:numId w:val="15"/>
        </w:numPr>
        <w:adjustRightInd/>
        <w:spacing w:line="240" w:lineRule="auto"/>
        <w:textAlignment w:val="auto"/>
      </w:pPr>
      <w:r w:rsidRPr="00F0074A">
        <w:rPr>
          <w:i/>
        </w:rPr>
        <w:t xml:space="preserve">Petición. </w:t>
      </w:r>
      <w:r w:rsidRPr="00F0074A">
        <w:t>– El 9 de septiembre de 1997, el representante (en adelante “el peticionario”) presentó la petición inicial ante la Comisión.</w:t>
      </w:r>
      <w:r w:rsidRPr="00F0074A">
        <w:rPr>
          <w:b/>
        </w:rPr>
        <w:t xml:space="preserve"> </w:t>
      </w:r>
    </w:p>
    <w:p w14:paraId="43C9F002" w14:textId="77777777" w:rsidR="00951F92" w:rsidRPr="00F0074A" w:rsidRDefault="00951F92" w:rsidP="00E06F63">
      <w:pPr>
        <w:pStyle w:val="Prrafodelista"/>
        <w:widowControl/>
        <w:adjustRightInd/>
        <w:spacing w:line="240" w:lineRule="auto"/>
        <w:ind w:left="720"/>
        <w:textAlignment w:val="auto"/>
      </w:pPr>
    </w:p>
    <w:p w14:paraId="35094928" w14:textId="083CC1E9" w:rsidR="00951F92" w:rsidRPr="00F0074A" w:rsidRDefault="00E57F25" w:rsidP="00E06F63">
      <w:pPr>
        <w:pStyle w:val="Prrafodelista"/>
        <w:widowControl/>
        <w:numPr>
          <w:ilvl w:val="0"/>
          <w:numId w:val="15"/>
        </w:numPr>
        <w:adjustRightInd/>
        <w:spacing w:line="240" w:lineRule="auto"/>
        <w:textAlignment w:val="auto"/>
      </w:pPr>
      <w:r>
        <w:rPr>
          <w:i/>
        </w:rPr>
        <w:t>Informe de A</w:t>
      </w:r>
      <w:r w:rsidR="00951F92" w:rsidRPr="00F0074A">
        <w:rPr>
          <w:i/>
        </w:rPr>
        <w:t>dmisibilidad.</w:t>
      </w:r>
      <w:r w:rsidR="00951F92" w:rsidRPr="00F0074A">
        <w:t xml:space="preserve"> </w:t>
      </w:r>
      <w:r w:rsidRPr="00F0074A">
        <w:t>–</w:t>
      </w:r>
      <w:r w:rsidR="00951F92" w:rsidRPr="00F0074A">
        <w:t xml:space="preserve"> El 13 de octubre de 2004 la Comisión aprobó el Informe de Admisibilidad, en el que concluyó que la petición era admisible. </w:t>
      </w:r>
    </w:p>
    <w:p w14:paraId="4048417F" w14:textId="77777777" w:rsidR="00951F92" w:rsidRPr="00F0074A" w:rsidRDefault="00951F92" w:rsidP="00E06F63">
      <w:pPr>
        <w:pStyle w:val="Prrafodelista"/>
        <w:widowControl/>
        <w:adjustRightInd/>
        <w:spacing w:line="240" w:lineRule="auto"/>
        <w:ind w:left="720"/>
        <w:textAlignment w:val="auto"/>
      </w:pPr>
    </w:p>
    <w:p w14:paraId="2F05874B" w14:textId="72583041" w:rsidR="00951F92" w:rsidRPr="00F0074A" w:rsidRDefault="00951F92" w:rsidP="00E06F63">
      <w:pPr>
        <w:pStyle w:val="Prrafodelista"/>
        <w:widowControl/>
        <w:numPr>
          <w:ilvl w:val="0"/>
          <w:numId w:val="15"/>
        </w:numPr>
        <w:adjustRightInd/>
        <w:spacing w:line="240" w:lineRule="auto"/>
        <w:textAlignment w:val="auto"/>
        <w:rPr>
          <w:i/>
        </w:rPr>
      </w:pPr>
      <w:r w:rsidRPr="00F0074A">
        <w:rPr>
          <w:i/>
        </w:rPr>
        <w:t>Informe de Fondo.</w:t>
      </w:r>
      <w:r w:rsidRPr="00F0074A">
        <w:t xml:space="preserve"> – El 6 de diciembre de 2016 la Comisión aprobó el Informe de Fondo No. 53/16, de conformidad con el artículo 50 de la Convención (en adelante también “el Informe de Fondo” o “el Informe No. 53/16”), en el cual llegó a una serie de conclusiones</w:t>
      </w:r>
      <w:r w:rsidRPr="00F0074A">
        <w:rPr>
          <w:rStyle w:val="Refdenotaalpie"/>
        </w:rPr>
        <w:footnoteReference w:id="2"/>
      </w:r>
      <w:r w:rsidRPr="00F0074A">
        <w:t>, y formuló varias recomendaciones al Estado</w:t>
      </w:r>
      <w:r w:rsidR="00100F11" w:rsidRPr="00100F11">
        <w:rPr>
          <w:rStyle w:val="Refdenotaalpie"/>
          <w:vertAlign w:val="baseline"/>
        </w:rPr>
        <w:t>.</w:t>
      </w:r>
    </w:p>
    <w:p w14:paraId="02242024" w14:textId="77777777" w:rsidR="00951F92" w:rsidRPr="00F0074A" w:rsidRDefault="00951F92" w:rsidP="00E06F63">
      <w:pPr>
        <w:pStyle w:val="Prrafodelista"/>
        <w:widowControl/>
        <w:adjustRightInd/>
        <w:spacing w:line="240" w:lineRule="auto"/>
        <w:ind w:left="720"/>
        <w:textAlignment w:val="auto"/>
        <w:rPr>
          <w:i/>
        </w:rPr>
      </w:pPr>
    </w:p>
    <w:p w14:paraId="3EF1BB07" w14:textId="2066DD8A" w:rsidR="00951F92" w:rsidRPr="00F0074A" w:rsidRDefault="00951F92" w:rsidP="00E06F63">
      <w:pPr>
        <w:pStyle w:val="Prrafodelista"/>
        <w:widowControl/>
        <w:numPr>
          <w:ilvl w:val="0"/>
          <w:numId w:val="15"/>
        </w:numPr>
        <w:adjustRightInd/>
        <w:spacing w:line="240" w:lineRule="auto"/>
        <w:textAlignment w:val="auto"/>
      </w:pPr>
      <w:r w:rsidRPr="00F0074A">
        <w:rPr>
          <w:i/>
        </w:rPr>
        <w:t xml:space="preserve"> Notificación al Estado.</w:t>
      </w:r>
      <w:r w:rsidRPr="00F0074A">
        <w:t xml:space="preserve"> – El Informe de Fondo fue notificado al Estado el 22 de diciembre de 2016. El Estado argentino solicitó dos prórrogas, las cuales fueron concedidas por la Comisión. Durante dicho lapso y en atención a la manifestación efectuada por el Estado sobre su voluntad de dar cumplimiento a las recomendaciones del informe de fondo, la Comisión acompañó una reunión de trabajo entre las partes. Sin embargo, en dicha reunión no se llegó a un acuerdo sobre el cumplimiento de las recomendaciones. Con posterioridad a dicha reunión el Estado no solicitó una prórroga para suspender el plazo del artículo 51 de la Convención, en los términos exigidos por el artículo 46 del Reglamento de la Comisión. </w:t>
      </w:r>
    </w:p>
    <w:p w14:paraId="5AA0CCFE" w14:textId="77777777" w:rsidR="00951F92" w:rsidRPr="00F0074A" w:rsidRDefault="00951F92" w:rsidP="00E06F63">
      <w:pPr>
        <w:pStyle w:val="Prrafodelista"/>
        <w:spacing w:line="240" w:lineRule="auto"/>
        <w:rPr>
          <w:highlight w:val="yellow"/>
        </w:rPr>
      </w:pPr>
    </w:p>
    <w:p w14:paraId="1F9665C3" w14:textId="702907FE" w:rsidR="00831B76" w:rsidRPr="00831B76" w:rsidRDefault="00951F92" w:rsidP="00831B76">
      <w:pPr>
        <w:numPr>
          <w:ilvl w:val="0"/>
          <w:numId w:val="11"/>
        </w:numPr>
        <w:tabs>
          <w:tab w:val="left" w:pos="567"/>
          <w:tab w:val="num" w:pos="1569"/>
          <w:tab w:val="num" w:pos="12305"/>
        </w:tabs>
        <w:spacing w:line="240" w:lineRule="auto"/>
        <w:ind w:left="0" w:firstLine="0"/>
      </w:pPr>
      <w:r w:rsidRPr="00F0074A">
        <w:rPr>
          <w:i/>
        </w:rPr>
        <w:t>Sometimiento a la Corte.</w:t>
      </w:r>
      <w:r w:rsidRPr="00F0074A">
        <w:t xml:space="preserve"> – El 22 de septiembre de 2017 la Comisión sometió a la jurisdicción de la Corte </w:t>
      </w:r>
      <w:r w:rsidRPr="002C0A4A">
        <w:t>Interamericana</w:t>
      </w:r>
      <w:r w:rsidRPr="00F0074A">
        <w:t xml:space="preserve"> la totalidad de los hechos y violaciones de derechos humanos descritos en el Informe No. 53/16 “ante la necesidad de obtención de justicia para la víctima en el caso particular”</w:t>
      </w:r>
      <w:r w:rsidRPr="00F0074A">
        <w:rPr>
          <w:rStyle w:val="Refdenotaalpie"/>
        </w:rPr>
        <w:footnoteReference w:id="3"/>
      </w:r>
      <w:r w:rsidRPr="00100F11">
        <w:t xml:space="preserve">. </w:t>
      </w:r>
      <w:r w:rsidR="00831B76" w:rsidRPr="00100F11">
        <w:t xml:space="preserve">Este Tribunal observa que, entre la presentación de la petición inicial ante la Comisión </w:t>
      </w:r>
      <w:r w:rsidR="00831B76" w:rsidRPr="00100F11">
        <w:lastRenderedPageBreak/>
        <w:t>y el sometimiento del caso ante la Corte, han transcurrido más de veinte años. La Corte enfatiza que la Comisión debe garantizar en todo momento la razonabilidad de los plazos en la tramitación de sus procesos. Sin embargo, dentro de ciertos límites de temporalidad y razonabilidad, determinadas omisiones o retrasos en la observancia de los procedimientos de la propia Comisión pueden ser dispensados si se conserva un adecuado equilibrio entre la justicia y la seguridad jurídica</w:t>
      </w:r>
      <w:r w:rsidR="00831B76" w:rsidRPr="00100F11">
        <w:rPr>
          <w:rStyle w:val="Refdenotaalpie"/>
        </w:rPr>
        <w:footnoteReference w:id="4"/>
      </w:r>
      <w:r w:rsidR="00831B76" w:rsidRPr="00100F11">
        <w:t>.</w:t>
      </w:r>
    </w:p>
    <w:p w14:paraId="1E67955D" w14:textId="77777777" w:rsidR="00951F92" w:rsidRPr="00F0074A" w:rsidRDefault="00951F92" w:rsidP="00E06F63">
      <w:pPr>
        <w:tabs>
          <w:tab w:val="left" w:pos="567"/>
        </w:tabs>
        <w:spacing w:line="240" w:lineRule="auto"/>
      </w:pPr>
    </w:p>
    <w:p w14:paraId="06D9DC3E" w14:textId="77777777" w:rsidR="00951F92" w:rsidRPr="00F0074A" w:rsidRDefault="00951F92" w:rsidP="00E06F63">
      <w:pPr>
        <w:numPr>
          <w:ilvl w:val="0"/>
          <w:numId w:val="11"/>
        </w:numPr>
        <w:tabs>
          <w:tab w:val="left" w:pos="567"/>
          <w:tab w:val="num" w:pos="1569"/>
          <w:tab w:val="num" w:pos="12305"/>
        </w:tabs>
        <w:spacing w:line="240" w:lineRule="auto"/>
        <w:ind w:left="0" w:firstLine="0"/>
      </w:pPr>
      <w:r w:rsidRPr="00F0074A">
        <w:rPr>
          <w:i/>
        </w:rPr>
        <w:t xml:space="preserve">Solicitudes de la Comisión Interamericana. </w:t>
      </w:r>
      <w:r w:rsidRPr="00F0074A">
        <w:t>– Con base en lo anterior, la Comisión solicitó a la Corte que declarara la responsabilidad internacional del Estado por las mismas violaciones señaladas en su Informe de Fondo. Asimismo, la Comisión solicitó a la Corte que ordenara al Estado medidas de reparación.</w:t>
      </w:r>
    </w:p>
    <w:p w14:paraId="6EE2E6A0" w14:textId="77777777" w:rsidR="00951F92" w:rsidRPr="00F0074A" w:rsidRDefault="00951F92" w:rsidP="0010568E">
      <w:pPr>
        <w:pStyle w:val="Ttulo1"/>
      </w:pPr>
      <w:bookmarkStart w:id="13" w:name="_Toc19138545"/>
      <w:bookmarkStart w:id="14" w:name="_Toc27405397"/>
      <w:r w:rsidRPr="00F0074A">
        <w:t>II</w:t>
      </w:r>
      <w:r w:rsidRPr="00F0074A">
        <w:br/>
        <w:t>PROCEDIMIENTO ANTE LA CORTE</w:t>
      </w:r>
      <w:bookmarkEnd w:id="13"/>
      <w:bookmarkEnd w:id="14"/>
    </w:p>
    <w:p w14:paraId="11B6797F" w14:textId="2161B1E8" w:rsidR="00951F92" w:rsidRPr="002B7D4D" w:rsidRDefault="00951F92" w:rsidP="00E06F63">
      <w:pPr>
        <w:numPr>
          <w:ilvl w:val="0"/>
          <w:numId w:val="11"/>
        </w:numPr>
        <w:tabs>
          <w:tab w:val="left" w:pos="567"/>
          <w:tab w:val="num" w:pos="1569"/>
          <w:tab w:val="num" w:pos="12305"/>
        </w:tabs>
        <w:spacing w:line="240" w:lineRule="auto"/>
        <w:ind w:left="0" w:firstLine="0"/>
      </w:pPr>
      <w:r w:rsidRPr="002B7D4D">
        <w:rPr>
          <w:i/>
        </w:rPr>
        <w:t>Designación</w:t>
      </w:r>
      <w:r w:rsidRPr="002B7D4D">
        <w:rPr>
          <w:rFonts w:cs="Arial"/>
          <w:i/>
        </w:rPr>
        <w:t xml:space="preserve"> de Defensores Públicos Interamericanos</w:t>
      </w:r>
      <w:r w:rsidRPr="002B7D4D">
        <w:rPr>
          <w:rFonts w:cs="Arial"/>
        </w:rPr>
        <w:t xml:space="preserve">.– </w:t>
      </w:r>
      <w:r w:rsidR="0084377A">
        <w:rPr>
          <w:rFonts w:cs="Arial"/>
        </w:rPr>
        <w:t>En vista de que la presunta víctima no disponía de una representación legal debidamente acreditada, m</w:t>
      </w:r>
      <w:r w:rsidRPr="002B7D4D">
        <w:rPr>
          <w:rFonts w:cs="Arial"/>
        </w:rPr>
        <w:t xml:space="preserve">ediante nota de Secretaría de 24 de octubre de 2017 se ofreció al señor Jenkins la posibilidad de aceptar la representación de los defensores interamericanos nombrados por la Asociación Interamericana de Defensorías Públicas </w:t>
      </w:r>
      <w:r w:rsidR="00E57F25">
        <w:rPr>
          <w:rFonts w:cs="Arial"/>
        </w:rPr>
        <w:t>(</w:t>
      </w:r>
      <w:r w:rsidRPr="002B7D4D">
        <w:rPr>
          <w:rFonts w:cs="Arial"/>
        </w:rPr>
        <w:t xml:space="preserve">en adelante, </w:t>
      </w:r>
      <w:r w:rsidRPr="002B7D4D">
        <w:t>“</w:t>
      </w:r>
      <w:r w:rsidRPr="002B7D4D">
        <w:rPr>
          <w:rFonts w:cs="Arial"/>
        </w:rPr>
        <w:t>AIDEF”)</w:t>
      </w:r>
      <w:r w:rsidR="0084377A">
        <w:rPr>
          <w:rFonts w:cs="Arial"/>
        </w:rPr>
        <w:t>, todo ello de conformidad con lo preceptuado en el artículo 37 del Reglamento de la Corte</w:t>
      </w:r>
      <w:r w:rsidR="00E57F25">
        <w:rPr>
          <w:rFonts w:cs="Arial"/>
        </w:rPr>
        <w:t>.</w:t>
      </w:r>
      <w:r w:rsidRPr="002B7D4D">
        <w:rPr>
          <w:rFonts w:cs="Arial"/>
        </w:rPr>
        <w:t xml:space="preserve"> El 31 de octubre de 2017 el señor Jenkins aprobó la designación de defensores interamericanos. Mediante nota de Secretaría de 3 de noviembre de 2017 se solicitó al Coordinador General de la AIDEF que designara un defensor interamericano </w:t>
      </w:r>
      <w:r w:rsidRPr="00100F11">
        <w:rPr>
          <w:rFonts w:cs="Arial"/>
        </w:rPr>
        <w:t>par</w:t>
      </w:r>
      <w:r w:rsidR="00A736B6" w:rsidRPr="00100F11">
        <w:rPr>
          <w:rFonts w:cs="Arial"/>
        </w:rPr>
        <w:t>a</w:t>
      </w:r>
      <w:r w:rsidRPr="002B7D4D">
        <w:rPr>
          <w:rFonts w:cs="Arial"/>
        </w:rPr>
        <w:t xml:space="preserve"> que asumiera la representación de la presunta víctima en este caso. El 14 de noviembre de 2017 el Coordinador General de dicha </w:t>
      </w:r>
      <w:r w:rsidR="00E57F25">
        <w:rPr>
          <w:rFonts w:cs="Arial"/>
        </w:rPr>
        <w:t>a</w:t>
      </w:r>
      <w:r w:rsidRPr="002B7D4D">
        <w:rPr>
          <w:rFonts w:cs="Arial"/>
        </w:rPr>
        <w:t>sociación comunicó a la Corte Interamericana la designación de dos personas como defensoras públicas interamericanas, la Dra. Lorena Padován y el Dr. Octavio Tito Sufán Farías (en adelante, en referencia indistinta a las personas que actuaron en tal carácter, “defensor</w:t>
      </w:r>
      <w:r w:rsidR="00127CF0" w:rsidRPr="002B7D4D">
        <w:rPr>
          <w:rFonts w:cs="Arial"/>
        </w:rPr>
        <w:t>e</w:t>
      </w:r>
      <w:r w:rsidRPr="002B7D4D">
        <w:rPr>
          <w:rFonts w:cs="Arial"/>
        </w:rPr>
        <w:t>s públic</w:t>
      </w:r>
      <w:r w:rsidR="00127CF0" w:rsidRPr="002B7D4D">
        <w:rPr>
          <w:rFonts w:cs="Arial"/>
        </w:rPr>
        <w:t>o</w:t>
      </w:r>
      <w:r w:rsidRPr="002B7D4D">
        <w:rPr>
          <w:rFonts w:cs="Arial"/>
        </w:rPr>
        <w:t>s interamerican</w:t>
      </w:r>
      <w:r w:rsidR="00E57F25">
        <w:rPr>
          <w:rFonts w:cs="Arial"/>
        </w:rPr>
        <w:t>o</w:t>
      </w:r>
      <w:r w:rsidRPr="002B7D4D">
        <w:rPr>
          <w:rFonts w:cs="Arial"/>
        </w:rPr>
        <w:t>s” o “</w:t>
      </w:r>
      <w:r w:rsidR="003C63AC" w:rsidRPr="002B7D4D">
        <w:rPr>
          <w:rFonts w:cs="Arial"/>
        </w:rPr>
        <w:t xml:space="preserve">los </w:t>
      </w:r>
      <w:r w:rsidR="008C31F3" w:rsidRPr="002B7D4D">
        <w:rPr>
          <w:rFonts w:cs="Arial"/>
        </w:rPr>
        <w:t>representantes</w:t>
      </w:r>
      <w:r w:rsidRPr="005E4981">
        <w:rPr>
          <w:rFonts w:cs="Arial"/>
        </w:rPr>
        <w:t>”).</w:t>
      </w:r>
      <w:r w:rsidRPr="005E4981">
        <w:rPr>
          <w:rFonts w:cs="Arial"/>
          <w:b/>
        </w:rPr>
        <w:t xml:space="preserve"> </w:t>
      </w:r>
      <w:r w:rsidRPr="00193548">
        <w:rPr>
          <w:rFonts w:cs="Arial"/>
        </w:rPr>
        <w:t xml:space="preserve">Como defensora interamericana suplente designó a la </w:t>
      </w:r>
      <w:r w:rsidRPr="002B7D4D">
        <w:t>Dra</w:t>
      </w:r>
      <w:r w:rsidRPr="002B7D4D">
        <w:rPr>
          <w:rFonts w:cs="Arial"/>
        </w:rPr>
        <w:t>. Nilda López Britez</w:t>
      </w:r>
      <w:r w:rsidR="002A2505" w:rsidRPr="002B7D4D">
        <w:rPr>
          <w:rFonts w:cs="Arial"/>
        </w:rPr>
        <w:t>.</w:t>
      </w:r>
      <w:r w:rsidRPr="002B7D4D">
        <w:rPr>
          <w:rFonts w:cs="Arial"/>
        </w:rPr>
        <w:t xml:space="preserve"> El 20 de noviembre de 2017 el señor Jenkins manifestó su disconformidad por “incompatibilidad” con la designación de la Dra. Lorena Padován. Mediante nota de Secretaría de 4 de diciembre de 2017 se informó al Coordinador General de AIDEF y al señor Jenkins sobre la designación de la Dra. Nilda López Britez como defensora interamericana en sustitución de la Dra. Lorena Padován</w:t>
      </w:r>
      <w:r w:rsidR="00E57F25">
        <w:rPr>
          <w:rFonts w:cs="Arial"/>
        </w:rPr>
        <w:t>.</w:t>
      </w:r>
      <w:r w:rsidRPr="002B7D4D">
        <w:rPr>
          <w:rFonts w:cs="Arial"/>
        </w:rPr>
        <w:t xml:space="preserve"> </w:t>
      </w:r>
    </w:p>
    <w:p w14:paraId="205FA9DF" w14:textId="77777777" w:rsidR="00951F92" w:rsidRPr="00F0074A" w:rsidRDefault="00951F92" w:rsidP="00E06F63">
      <w:pPr>
        <w:tabs>
          <w:tab w:val="left" w:pos="567"/>
        </w:tabs>
        <w:spacing w:line="240" w:lineRule="auto"/>
      </w:pPr>
    </w:p>
    <w:p w14:paraId="11049459" w14:textId="3F823BB1" w:rsidR="00951F92" w:rsidRPr="00F0074A" w:rsidRDefault="00951F92" w:rsidP="00E06F63">
      <w:pPr>
        <w:numPr>
          <w:ilvl w:val="0"/>
          <w:numId w:val="11"/>
        </w:numPr>
        <w:tabs>
          <w:tab w:val="left" w:pos="567"/>
          <w:tab w:val="num" w:pos="1569"/>
          <w:tab w:val="num" w:pos="12305"/>
        </w:tabs>
        <w:spacing w:line="240" w:lineRule="auto"/>
        <w:ind w:left="0" w:firstLine="0"/>
      </w:pPr>
      <w:r w:rsidRPr="00F0074A">
        <w:rPr>
          <w:i/>
        </w:rPr>
        <w:t xml:space="preserve">Notificación a </w:t>
      </w:r>
      <w:r w:rsidR="003C63AC" w:rsidRPr="00F0074A">
        <w:rPr>
          <w:i/>
        </w:rPr>
        <w:t xml:space="preserve">los </w:t>
      </w:r>
      <w:r w:rsidR="00416C9C" w:rsidRPr="00F0074A">
        <w:rPr>
          <w:i/>
        </w:rPr>
        <w:t>representantes</w:t>
      </w:r>
      <w:r w:rsidR="008C31F3" w:rsidRPr="00F0074A">
        <w:rPr>
          <w:i/>
        </w:rPr>
        <w:t xml:space="preserve"> </w:t>
      </w:r>
      <w:r w:rsidRPr="00F0074A">
        <w:rPr>
          <w:i/>
        </w:rPr>
        <w:t xml:space="preserve">y al Estado. </w:t>
      </w:r>
      <w:r w:rsidRPr="00F0074A">
        <w:t>– El sometimiento del caso por parte de la Comisión fue notificado por la Corte a los representantes de las presuntas víctimas (en adelante “los representantes”) y al Estado el 11 de diciembre de 2017.</w:t>
      </w:r>
      <w:bookmarkStart w:id="15" w:name="para7"/>
    </w:p>
    <w:p w14:paraId="77BBE6FB" w14:textId="77777777" w:rsidR="00951F92" w:rsidRPr="00F0074A" w:rsidRDefault="00951F92" w:rsidP="00E06F63">
      <w:pPr>
        <w:tabs>
          <w:tab w:val="left" w:pos="567"/>
        </w:tabs>
        <w:spacing w:line="240" w:lineRule="auto"/>
        <w:rPr>
          <w:highlight w:val="yellow"/>
        </w:rPr>
      </w:pPr>
    </w:p>
    <w:p w14:paraId="7E99246A" w14:textId="5F297C0A" w:rsidR="00951F92" w:rsidRPr="00F0074A" w:rsidRDefault="00951F92" w:rsidP="00E06F63">
      <w:pPr>
        <w:numPr>
          <w:ilvl w:val="0"/>
          <w:numId w:val="11"/>
        </w:numPr>
        <w:tabs>
          <w:tab w:val="left" w:pos="567"/>
          <w:tab w:val="num" w:pos="1569"/>
          <w:tab w:val="num" w:pos="12305"/>
        </w:tabs>
        <w:spacing w:line="240" w:lineRule="auto"/>
        <w:ind w:left="0" w:firstLine="0"/>
      </w:pPr>
      <w:r w:rsidRPr="00F0074A">
        <w:rPr>
          <w:i/>
        </w:rPr>
        <w:t>Escrito de solicitudes, argumentos y pruebas.</w:t>
      </w:r>
      <w:r w:rsidRPr="00F0074A">
        <w:t xml:space="preserve"> – El 10 de febrero de 2018 los representantes de la presunta víctima presentaron ante la Corte su escrito de solicitudes, argumentos y pruebas. Los representantes coincidieron sustancialmente con los alegatos de la Comisión y solicitaron a la Corte que declarara la responsabilidad internacional del Estado por la violación de los mismos artículos alegados por la Comisión y, adicionalmente, la violación del artículo 8.2.h, así como la violación del derecho a ser oído por un Tribunal imparcial en violación de los artículos 8.1 y 8.2 en relación con los artículos 1.1 y 2 de la Convención Americana</w:t>
      </w:r>
      <w:r w:rsidR="00E57F25">
        <w:t>.</w:t>
      </w:r>
      <w:r w:rsidRPr="00F0074A">
        <w:t xml:space="preserve"> Asimismo, la presunta víctima solicitó, a través de sus representantes, acogerse al Fondo de Asistencia Legal de Víctimas de la Corte Interamericana (en adelante “Fondo de Asistencia de la Corte” o el “Fondo”). Finalmente solicitó a la Corte que ordenara al Estado la adopción de diversas medidas de reparación y el </w:t>
      </w:r>
      <w:r w:rsidRPr="00F0074A">
        <w:lastRenderedPageBreak/>
        <w:t xml:space="preserve">reintegro de determinadas costas y gastos. </w:t>
      </w:r>
    </w:p>
    <w:bookmarkEnd w:id="15"/>
    <w:p w14:paraId="5416F2D0" w14:textId="77777777" w:rsidR="00951F92" w:rsidRPr="00F0074A" w:rsidRDefault="00951F92" w:rsidP="00E06F63">
      <w:pPr>
        <w:pStyle w:val="Prrafodelista"/>
        <w:spacing w:line="240" w:lineRule="auto"/>
        <w:rPr>
          <w:highlight w:val="yellow"/>
        </w:rPr>
      </w:pPr>
    </w:p>
    <w:p w14:paraId="0F6DFC98" w14:textId="730DC5F8" w:rsidR="00951F92" w:rsidRPr="00F0074A" w:rsidRDefault="00951F92" w:rsidP="00E06F63">
      <w:pPr>
        <w:numPr>
          <w:ilvl w:val="0"/>
          <w:numId w:val="11"/>
        </w:numPr>
        <w:tabs>
          <w:tab w:val="left" w:pos="567"/>
          <w:tab w:val="num" w:pos="1569"/>
          <w:tab w:val="num" w:pos="12305"/>
        </w:tabs>
        <w:spacing w:line="240" w:lineRule="auto"/>
        <w:ind w:left="0" w:firstLine="0"/>
      </w:pPr>
      <w:r w:rsidRPr="00F0074A">
        <w:rPr>
          <w:i/>
        </w:rPr>
        <w:t>Escrito de contestación.</w:t>
      </w:r>
      <w:r w:rsidRPr="00F0074A">
        <w:t xml:space="preserve"> </w:t>
      </w:r>
      <w:r w:rsidRPr="00F0074A">
        <w:rPr>
          <w:i/>
        </w:rPr>
        <w:t xml:space="preserve">– </w:t>
      </w:r>
      <w:r w:rsidRPr="00F0074A">
        <w:t>El 8 de mayo de 2018 el Estado presentó ante la Corte su escrito de contestación al sometimiento e informe de fondo de la Comisión Interamericana y al escrito de solicitudes, argumentos y pruebas de los representantes (en adelante “escrito de contestación”). En dicho escrito, el Estado interpuso cuatro excepciones preliminares y se opuso a las violaciones alegadas y a las solicitudes de medidas de reparación.</w:t>
      </w:r>
      <w:r w:rsidRPr="00F0074A">
        <w:rPr>
          <w:b/>
        </w:rPr>
        <w:t xml:space="preserve"> </w:t>
      </w:r>
    </w:p>
    <w:p w14:paraId="097FFD55" w14:textId="77777777" w:rsidR="00951F92" w:rsidRPr="00F0074A" w:rsidRDefault="00951F92" w:rsidP="00E06F63">
      <w:pPr>
        <w:spacing w:line="240" w:lineRule="auto"/>
        <w:rPr>
          <w:highlight w:val="yellow"/>
        </w:rPr>
      </w:pPr>
    </w:p>
    <w:p w14:paraId="0E265C81" w14:textId="584794CB" w:rsidR="00951F92" w:rsidRPr="00F0074A" w:rsidRDefault="00951F92" w:rsidP="00E06F63">
      <w:pPr>
        <w:numPr>
          <w:ilvl w:val="0"/>
          <w:numId w:val="11"/>
        </w:numPr>
        <w:tabs>
          <w:tab w:val="left" w:pos="567"/>
          <w:tab w:val="num" w:pos="1569"/>
          <w:tab w:val="num" w:pos="12305"/>
        </w:tabs>
        <w:spacing w:line="240" w:lineRule="auto"/>
        <w:ind w:left="0" w:firstLine="0"/>
        <w:rPr>
          <w:i/>
        </w:rPr>
      </w:pPr>
      <w:r w:rsidRPr="00F0074A">
        <w:rPr>
          <w:i/>
        </w:rPr>
        <w:t>Observaciones a las excepciones preliminares.</w:t>
      </w:r>
      <w:r w:rsidRPr="00F0074A">
        <w:t xml:space="preserve"> </w:t>
      </w:r>
      <w:r w:rsidRPr="00F0074A">
        <w:rPr>
          <w:i/>
        </w:rPr>
        <w:t xml:space="preserve">– </w:t>
      </w:r>
      <w:r w:rsidRPr="00F0074A">
        <w:t xml:space="preserve">El 30 de julio de 2018 y el 10 de agosto de 2018 la Comisión y los representantes presentaron, respectivamente, sus observaciones a las excepciones preliminares interpuestas por el Estado. </w:t>
      </w:r>
    </w:p>
    <w:p w14:paraId="70B7844C" w14:textId="77777777" w:rsidR="00951F92" w:rsidRPr="00F0074A" w:rsidRDefault="00951F92" w:rsidP="00E06F63">
      <w:pPr>
        <w:tabs>
          <w:tab w:val="left" w:pos="567"/>
          <w:tab w:val="num" w:pos="12305"/>
        </w:tabs>
        <w:spacing w:line="240" w:lineRule="auto"/>
        <w:rPr>
          <w:i/>
          <w:highlight w:val="yellow"/>
        </w:rPr>
      </w:pPr>
    </w:p>
    <w:p w14:paraId="4B5B43BB" w14:textId="4D2414F9" w:rsidR="00951F92" w:rsidRPr="00F0074A" w:rsidRDefault="00951F92" w:rsidP="00E06F63">
      <w:pPr>
        <w:numPr>
          <w:ilvl w:val="0"/>
          <w:numId w:val="11"/>
        </w:numPr>
        <w:tabs>
          <w:tab w:val="left" w:pos="567"/>
          <w:tab w:val="num" w:pos="1569"/>
          <w:tab w:val="num" w:pos="12305"/>
        </w:tabs>
        <w:spacing w:line="240" w:lineRule="auto"/>
        <w:ind w:left="0" w:firstLine="0"/>
      </w:pPr>
      <w:r w:rsidRPr="00F0074A">
        <w:rPr>
          <w:i/>
        </w:rPr>
        <w:t xml:space="preserve">Fondo de Asistencia Legal de Víctimas. </w:t>
      </w:r>
      <w:r w:rsidRPr="00F0074A">
        <w:t>– Mediante Resolución emitida por el Presidente de la Corte Interamericana el 19 de diciembre de 2018 se declaró procedente la solicitud interpuesta por la presunta víctima, a través de sus representantes, para acogerse al Fondo de Asistencia de la Corte.</w:t>
      </w:r>
      <w:r w:rsidRPr="00F0074A">
        <w:rPr>
          <w:b/>
        </w:rPr>
        <w:t xml:space="preserve"> </w:t>
      </w:r>
    </w:p>
    <w:p w14:paraId="07423AF9" w14:textId="77777777" w:rsidR="00951F92" w:rsidRPr="00F0074A" w:rsidRDefault="00951F92" w:rsidP="00E06F63">
      <w:pPr>
        <w:tabs>
          <w:tab w:val="left" w:pos="567"/>
        </w:tabs>
        <w:spacing w:line="240" w:lineRule="auto"/>
        <w:rPr>
          <w:b/>
        </w:rPr>
      </w:pPr>
    </w:p>
    <w:p w14:paraId="12DD145D" w14:textId="7C457D81" w:rsidR="00951F92" w:rsidRPr="00F0074A" w:rsidRDefault="00951F92" w:rsidP="00E06F63">
      <w:pPr>
        <w:numPr>
          <w:ilvl w:val="0"/>
          <w:numId w:val="11"/>
        </w:numPr>
        <w:tabs>
          <w:tab w:val="left" w:pos="567"/>
          <w:tab w:val="num" w:pos="1569"/>
          <w:tab w:val="num" w:pos="12305"/>
        </w:tabs>
        <w:spacing w:line="240" w:lineRule="auto"/>
        <w:ind w:left="0" w:firstLine="0"/>
      </w:pPr>
      <w:r w:rsidRPr="00F0074A">
        <w:rPr>
          <w:i/>
        </w:rPr>
        <w:t xml:space="preserve">Audiencia Pública. </w:t>
      </w:r>
      <w:r w:rsidRPr="00F0074A">
        <w:t>– Mediante Resolución de 19 de diciembre de 2018</w:t>
      </w:r>
      <w:r w:rsidRPr="00F0074A">
        <w:rPr>
          <w:rStyle w:val="Refdenotaalpie"/>
        </w:rPr>
        <w:footnoteReference w:id="5"/>
      </w:r>
      <w:r w:rsidRPr="00F0074A">
        <w:t>, el Presidente convocó al Estado, a los representantes y a la Comisión Interamericana a una audiencia pública para recibir sus alegatos y observaciones finales orales sobre las excepciones preliminares y eventuales fondo, reparaciones y costas, así como para recibir la declaración de la presunta víctima y de un perito, ambos propuestos por los representantes. La audiencia pública fue celebrada el 1 de febrero de 2019, durante el 129° Período Ordinario de Sesiones de la Corte, llevado a cabo en su sede</w:t>
      </w:r>
      <w:r w:rsidRPr="00F0074A">
        <w:rPr>
          <w:rStyle w:val="Refdenotaalpie"/>
        </w:rPr>
        <w:footnoteReference w:id="6"/>
      </w:r>
      <w:r w:rsidRPr="00F0074A">
        <w:t xml:space="preserve">. </w:t>
      </w:r>
    </w:p>
    <w:p w14:paraId="4662E636" w14:textId="77777777" w:rsidR="00951F92" w:rsidRPr="00F0074A" w:rsidRDefault="00951F92" w:rsidP="00E06F63">
      <w:pPr>
        <w:tabs>
          <w:tab w:val="left" w:pos="567"/>
          <w:tab w:val="num" w:pos="12305"/>
        </w:tabs>
        <w:spacing w:line="240" w:lineRule="auto"/>
        <w:rPr>
          <w:highlight w:val="yellow"/>
        </w:rPr>
      </w:pPr>
    </w:p>
    <w:p w14:paraId="5B2688D2" w14:textId="29A2D5C8" w:rsidR="00951F92" w:rsidRPr="00F0074A" w:rsidRDefault="00951F92" w:rsidP="00E06F63">
      <w:pPr>
        <w:numPr>
          <w:ilvl w:val="0"/>
          <w:numId w:val="11"/>
        </w:numPr>
        <w:tabs>
          <w:tab w:val="left" w:pos="567"/>
          <w:tab w:val="num" w:pos="1569"/>
          <w:tab w:val="num" w:pos="12305"/>
        </w:tabs>
        <w:spacing w:line="240" w:lineRule="auto"/>
        <w:ind w:left="0" w:firstLine="0"/>
      </w:pPr>
      <w:r w:rsidRPr="00F0074A">
        <w:rPr>
          <w:i/>
        </w:rPr>
        <w:t xml:space="preserve">Alegatos y observaciones finales escritos. </w:t>
      </w:r>
      <w:r w:rsidRPr="00F0074A">
        <w:t xml:space="preserve">– El 1 de marzo de 2019 el Estado </w:t>
      </w:r>
      <w:r w:rsidR="002839D7">
        <w:t>remitió</w:t>
      </w:r>
      <w:r w:rsidRPr="00F0074A">
        <w:t xml:space="preserve"> sus </w:t>
      </w:r>
      <w:r w:rsidR="002839D7">
        <w:t>alegatos finales escritos</w:t>
      </w:r>
      <w:r w:rsidRPr="00F0074A">
        <w:t xml:space="preserve"> y la Comisión presentó sus observaciones finales escritas. </w:t>
      </w:r>
      <w:r w:rsidR="002839D7" w:rsidRPr="002839D7">
        <w:t>Los representantes presentaron sus alegatos finales escritos el 2 de marzo de 2019</w:t>
      </w:r>
      <w:r w:rsidR="002839D7" w:rsidRPr="00F0074A">
        <w:rPr>
          <w:rFonts w:eastAsia="Calibri"/>
        </w:rPr>
        <w:t xml:space="preserve"> de forma extemporánea</w:t>
      </w:r>
      <w:r w:rsidR="002839D7" w:rsidRPr="00F0074A">
        <w:rPr>
          <w:rStyle w:val="Refdenotaalpie"/>
          <w:rFonts w:eastAsia="Calibri"/>
        </w:rPr>
        <w:footnoteReference w:id="7"/>
      </w:r>
      <w:r w:rsidR="00E57F25">
        <w:rPr>
          <w:rFonts w:eastAsia="Calibri"/>
        </w:rPr>
        <w:t xml:space="preserve"> y</w:t>
      </w:r>
      <w:r w:rsidR="00997C54">
        <w:rPr>
          <w:rFonts w:eastAsia="Calibri"/>
        </w:rPr>
        <w:t>,</w:t>
      </w:r>
      <w:r w:rsidR="00E57F25">
        <w:rPr>
          <w:rFonts w:eastAsia="Calibri"/>
        </w:rPr>
        <w:t xml:space="preserve"> </w:t>
      </w:r>
      <w:r w:rsidR="006D5E65">
        <w:rPr>
          <w:rFonts w:eastAsia="Calibri"/>
        </w:rPr>
        <w:t>por lo tanto</w:t>
      </w:r>
      <w:r w:rsidR="00997C54">
        <w:rPr>
          <w:rFonts w:eastAsia="Calibri"/>
        </w:rPr>
        <w:t>,</w:t>
      </w:r>
      <w:r w:rsidR="006D5E65">
        <w:rPr>
          <w:rFonts w:eastAsia="Calibri"/>
        </w:rPr>
        <w:t xml:space="preserve"> no serán</w:t>
      </w:r>
      <w:r w:rsidR="002839D7" w:rsidRPr="00F0074A">
        <w:rPr>
          <w:rFonts w:eastAsia="Calibri"/>
        </w:rPr>
        <w:t xml:space="preserve"> admitido</w:t>
      </w:r>
      <w:r w:rsidR="00E57F25">
        <w:rPr>
          <w:rFonts w:eastAsia="Calibri"/>
        </w:rPr>
        <w:t>s</w:t>
      </w:r>
      <w:r w:rsidR="002839D7" w:rsidRPr="00F0074A">
        <w:rPr>
          <w:rFonts w:eastAsia="Calibri"/>
        </w:rPr>
        <w:t>.</w:t>
      </w:r>
    </w:p>
    <w:p w14:paraId="705BCD02" w14:textId="77777777" w:rsidR="00951F92" w:rsidRPr="00F0074A" w:rsidRDefault="00951F92" w:rsidP="00E06F63">
      <w:pPr>
        <w:tabs>
          <w:tab w:val="left" w:pos="567"/>
        </w:tabs>
        <w:spacing w:line="240" w:lineRule="auto"/>
        <w:rPr>
          <w:b/>
        </w:rPr>
      </w:pPr>
    </w:p>
    <w:p w14:paraId="0CD4B513" w14:textId="361AC349" w:rsidR="00951F92" w:rsidRPr="00F022B2" w:rsidRDefault="00951F92" w:rsidP="00E06F63">
      <w:pPr>
        <w:numPr>
          <w:ilvl w:val="0"/>
          <w:numId w:val="11"/>
        </w:numPr>
        <w:tabs>
          <w:tab w:val="left" w:pos="567"/>
          <w:tab w:val="num" w:pos="1569"/>
          <w:tab w:val="num" w:pos="12305"/>
        </w:tabs>
        <w:spacing w:line="240" w:lineRule="auto"/>
        <w:ind w:left="0" w:firstLine="0"/>
      </w:pPr>
      <w:r w:rsidRPr="00F0074A">
        <w:rPr>
          <w:i/>
        </w:rPr>
        <w:t xml:space="preserve">Deliberación del presente caso. </w:t>
      </w:r>
      <w:r w:rsidRPr="00F0074A">
        <w:t xml:space="preserve">– La Corte inició la deliberación de la presente </w:t>
      </w:r>
      <w:r w:rsidRPr="00F022B2">
        <w:t xml:space="preserve">Sentencia el </w:t>
      </w:r>
      <w:r w:rsidR="00F022B2" w:rsidRPr="00F022B2">
        <w:t>25</w:t>
      </w:r>
      <w:r w:rsidRPr="00F022B2">
        <w:t xml:space="preserve"> de noviembre de 2019. </w:t>
      </w:r>
    </w:p>
    <w:p w14:paraId="57334A61" w14:textId="77777777" w:rsidR="00951F92" w:rsidRPr="00F0074A" w:rsidRDefault="00951F92" w:rsidP="0010568E">
      <w:pPr>
        <w:pStyle w:val="Ttulo1"/>
      </w:pPr>
      <w:bookmarkStart w:id="16" w:name="_Toc19138546"/>
      <w:bookmarkStart w:id="17" w:name="_Toc27405398"/>
      <w:r w:rsidRPr="00F0074A">
        <w:t>III</w:t>
      </w:r>
      <w:r w:rsidRPr="00F0074A">
        <w:br/>
        <w:t>COMPETENCIA</w:t>
      </w:r>
      <w:bookmarkEnd w:id="16"/>
      <w:bookmarkEnd w:id="17"/>
    </w:p>
    <w:p w14:paraId="65B95915" w14:textId="03F03B57" w:rsidR="00951F92" w:rsidRPr="00F0074A" w:rsidRDefault="00951F92" w:rsidP="00E06F63">
      <w:pPr>
        <w:numPr>
          <w:ilvl w:val="0"/>
          <w:numId w:val="11"/>
        </w:numPr>
        <w:tabs>
          <w:tab w:val="left" w:pos="567"/>
          <w:tab w:val="num" w:pos="1569"/>
          <w:tab w:val="num" w:pos="12305"/>
        </w:tabs>
        <w:spacing w:line="240" w:lineRule="auto"/>
        <w:ind w:left="0" w:firstLine="0"/>
        <w:rPr>
          <w:rFonts w:eastAsia="Batang"/>
          <w:lang w:eastAsia="en-US"/>
        </w:rPr>
      </w:pPr>
      <w:r w:rsidRPr="00F0074A">
        <w:rPr>
          <w:rFonts w:eastAsia="Batang"/>
          <w:lang w:eastAsia="en-US"/>
        </w:rPr>
        <w:t>La Corte es competente</w:t>
      </w:r>
      <w:r w:rsidRPr="00F0074A">
        <w:t xml:space="preserve"> en los términos del</w:t>
      </w:r>
      <w:r w:rsidR="00100F11">
        <w:t xml:space="preserve"> artículo 62.3 de la Convención </w:t>
      </w:r>
      <w:r w:rsidRPr="00F0074A">
        <w:t>para conocer el presente caso, en razón de que Argentina es Estado Parte de la Convención Americana desde el 5 de septiembre de 1984 y reconoció la competencia contenciosa del Tribunal en esa misma fecha</w:t>
      </w:r>
      <w:r w:rsidR="00A736B6">
        <w:t>.</w:t>
      </w:r>
      <w:r w:rsidRPr="00F0074A">
        <w:rPr>
          <w:rFonts w:eastAsia="Batang"/>
          <w:lang w:eastAsia="en-US"/>
        </w:rPr>
        <w:t xml:space="preserve"> </w:t>
      </w:r>
    </w:p>
    <w:p w14:paraId="129B5F69" w14:textId="77777777" w:rsidR="00075A44" w:rsidRPr="00F0074A" w:rsidRDefault="00467516" w:rsidP="0010568E">
      <w:pPr>
        <w:pStyle w:val="Ttulo1"/>
      </w:pPr>
      <w:bookmarkStart w:id="18" w:name="_Toc27405399"/>
      <w:r w:rsidRPr="00F0074A">
        <w:lastRenderedPageBreak/>
        <w:t>IV</w:t>
      </w:r>
      <w:r w:rsidRPr="00F0074A">
        <w:br/>
      </w:r>
      <w:r w:rsidR="00891A4D" w:rsidRPr="00F0074A">
        <w:t>EXCEPCIONES</w:t>
      </w:r>
      <w:r w:rsidRPr="00F0074A">
        <w:t xml:space="preserve"> PRELIMINAR</w:t>
      </w:r>
      <w:r w:rsidR="00891A4D" w:rsidRPr="00F0074A">
        <w:t>ES</w:t>
      </w:r>
      <w:bookmarkEnd w:id="18"/>
    </w:p>
    <w:p w14:paraId="6DA7FE62" w14:textId="5479AB15" w:rsidR="00075A44" w:rsidRPr="00F0074A" w:rsidRDefault="00467516" w:rsidP="00E06F63">
      <w:pPr>
        <w:pStyle w:val="Ttulo2"/>
      </w:pPr>
      <w:bookmarkStart w:id="19" w:name="_Toc27405400"/>
      <w:r w:rsidRPr="00F0074A">
        <w:t>A.</w:t>
      </w:r>
      <w:r w:rsidR="00075A44" w:rsidRPr="00F0074A">
        <w:tab/>
      </w:r>
      <w:r w:rsidR="00390E2D">
        <w:t xml:space="preserve"> </w:t>
      </w:r>
      <w:r w:rsidR="00075A44" w:rsidRPr="00F0074A">
        <w:t xml:space="preserve">Insubsistencia de ciertos hechos alegados en </w:t>
      </w:r>
      <w:r w:rsidR="00F569B6">
        <w:t>el informe de fondo</w:t>
      </w:r>
      <w:r w:rsidR="00075A44" w:rsidRPr="00F0074A">
        <w:t xml:space="preserve"> de la Comisión y en el escrito de </w:t>
      </w:r>
      <w:r w:rsidR="00E57F25">
        <w:t>s</w:t>
      </w:r>
      <w:r w:rsidR="00075A44" w:rsidRPr="00F0074A">
        <w:t xml:space="preserve">olicitudes, </w:t>
      </w:r>
      <w:r w:rsidR="00E57F25">
        <w:t>a</w:t>
      </w:r>
      <w:r w:rsidR="00075A44" w:rsidRPr="00F0074A">
        <w:t xml:space="preserve">rgumentos y </w:t>
      </w:r>
      <w:r w:rsidR="00E57F25">
        <w:t>p</w:t>
      </w:r>
      <w:r w:rsidR="00075A44" w:rsidRPr="00F0074A">
        <w:t>ruebas</w:t>
      </w:r>
      <w:bookmarkEnd w:id="19"/>
    </w:p>
    <w:p w14:paraId="60D6DB21" w14:textId="77777777" w:rsidR="00075A44" w:rsidRPr="00F0074A" w:rsidRDefault="00075A44" w:rsidP="00E06F63">
      <w:pPr>
        <w:pStyle w:val="Ttulo3"/>
      </w:pPr>
      <w:r w:rsidRPr="00F0074A">
        <w:tab/>
      </w:r>
      <w:bookmarkStart w:id="20" w:name="_Toc27405401"/>
      <w:r w:rsidRPr="00F0074A">
        <w:t>a.1 Alegatos de las partes y de la Comisión</w:t>
      </w:r>
      <w:bookmarkEnd w:id="20"/>
    </w:p>
    <w:p w14:paraId="2DA15FA0" w14:textId="4AA4A774" w:rsidR="00075A44" w:rsidRPr="00F0074A" w:rsidRDefault="004966F0" w:rsidP="00E06F63">
      <w:pPr>
        <w:numPr>
          <w:ilvl w:val="0"/>
          <w:numId w:val="11"/>
        </w:numPr>
        <w:tabs>
          <w:tab w:val="left" w:pos="567"/>
          <w:tab w:val="num" w:pos="1569"/>
          <w:tab w:val="num" w:pos="12305"/>
        </w:tabs>
        <w:spacing w:line="240" w:lineRule="auto"/>
        <w:ind w:left="0" w:firstLine="0"/>
        <w:rPr>
          <w:rFonts w:eastAsia="Batang"/>
          <w:lang w:eastAsia="en-US"/>
        </w:rPr>
      </w:pPr>
      <w:r w:rsidRPr="00F0074A">
        <w:rPr>
          <w:rFonts w:eastAsia="Batang"/>
          <w:lang w:eastAsia="en-US"/>
        </w:rPr>
        <w:t>En primer lugar, e</w:t>
      </w:r>
      <w:r w:rsidR="00075A44" w:rsidRPr="00F0074A">
        <w:rPr>
          <w:rFonts w:eastAsia="Batang"/>
          <w:lang w:eastAsia="en-US"/>
        </w:rPr>
        <w:t xml:space="preserve">l </w:t>
      </w:r>
      <w:r w:rsidR="00075A44" w:rsidRPr="00F0074A">
        <w:rPr>
          <w:rFonts w:eastAsia="Batang"/>
          <w:b/>
          <w:i/>
          <w:lang w:eastAsia="en-US"/>
        </w:rPr>
        <w:t>Estado</w:t>
      </w:r>
      <w:r w:rsidR="00075A44" w:rsidRPr="00F0074A">
        <w:rPr>
          <w:rFonts w:eastAsia="Batang"/>
          <w:lang w:eastAsia="en-US"/>
        </w:rPr>
        <w:t xml:space="preserve"> adujo que</w:t>
      </w:r>
      <w:r w:rsidRPr="00F0074A">
        <w:rPr>
          <w:rFonts w:eastAsia="Batang"/>
          <w:lang w:eastAsia="en-US"/>
        </w:rPr>
        <w:t xml:space="preserve"> </w:t>
      </w:r>
      <w:r w:rsidR="00075A44" w:rsidRPr="00F0074A">
        <w:rPr>
          <w:rFonts w:eastAsia="Batang"/>
          <w:lang w:eastAsia="en-US"/>
        </w:rPr>
        <w:t xml:space="preserve">los hechos referidos a la prolongada prisión preventiva y a las garantías judiciales durante el transcurso de </w:t>
      </w:r>
      <w:r w:rsidR="00913C29" w:rsidRPr="00F0074A">
        <w:rPr>
          <w:rFonts w:eastAsia="Batang"/>
          <w:lang w:eastAsia="en-US"/>
        </w:rPr>
        <w:t xml:space="preserve">la causa judicial habían devenido abstractos y por tanto, no subsistían, </w:t>
      </w:r>
      <w:r w:rsidRPr="00F0074A">
        <w:rPr>
          <w:rFonts w:eastAsia="Batang"/>
          <w:lang w:eastAsia="en-US"/>
        </w:rPr>
        <w:t>toda vez que el señor Jenkins fue absuelto en diciembre de 1997</w:t>
      </w:r>
      <w:r w:rsidR="00075A44" w:rsidRPr="00F0074A">
        <w:rPr>
          <w:rFonts w:eastAsia="Batang"/>
          <w:lang w:eastAsia="en-US"/>
        </w:rPr>
        <w:t xml:space="preserve">. En segundo </w:t>
      </w:r>
      <w:r w:rsidR="00075A44" w:rsidRPr="00F0074A">
        <w:t>lugar</w:t>
      </w:r>
      <w:r w:rsidR="00075A44" w:rsidRPr="00F0074A">
        <w:rPr>
          <w:rFonts w:eastAsia="Batang"/>
          <w:lang w:eastAsia="en-US"/>
        </w:rPr>
        <w:t>, señaló que la Corte Suprema de Justicia de la Nación argentina dispuso la inconstitucionalidad del artículo 10 de la Le</w:t>
      </w:r>
      <w:r w:rsidRPr="00F0074A">
        <w:rPr>
          <w:rFonts w:eastAsia="Batang"/>
          <w:lang w:eastAsia="en-US"/>
        </w:rPr>
        <w:t xml:space="preserve">y </w:t>
      </w:r>
      <w:r w:rsidR="002C0A4A">
        <w:rPr>
          <w:rFonts w:eastAsia="Batang"/>
          <w:lang w:eastAsia="en-US"/>
        </w:rPr>
        <w:t xml:space="preserve">No. </w:t>
      </w:r>
      <w:r w:rsidRPr="00F0074A">
        <w:rPr>
          <w:rFonts w:eastAsia="Batang"/>
          <w:lang w:eastAsia="en-US"/>
        </w:rPr>
        <w:t xml:space="preserve">24.390 el 15 de junio de 2010 y, en consecuencia, </w:t>
      </w:r>
      <w:r w:rsidR="00075A44" w:rsidRPr="00F0074A">
        <w:rPr>
          <w:rFonts w:eastAsia="Batang"/>
          <w:lang w:eastAsia="en-US"/>
        </w:rPr>
        <w:t xml:space="preserve">no </w:t>
      </w:r>
      <w:r w:rsidRPr="00F0074A">
        <w:rPr>
          <w:rFonts w:eastAsia="Batang"/>
          <w:lang w:eastAsia="en-US"/>
        </w:rPr>
        <w:t>subsistiría</w:t>
      </w:r>
      <w:r w:rsidR="00075A44" w:rsidRPr="00F0074A">
        <w:rPr>
          <w:rFonts w:eastAsia="Batang"/>
          <w:lang w:eastAsia="en-US"/>
        </w:rPr>
        <w:t xml:space="preserve"> el reclamo en torno a la convencionalidad del artículo 10 de la referida Ley. </w:t>
      </w:r>
    </w:p>
    <w:p w14:paraId="22DE406A" w14:textId="77777777" w:rsidR="00075A44" w:rsidRPr="00F0074A" w:rsidRDefault="00075A44" w:rsidP="00E06F63">
      <w:pPr>
        <w:tabs>
          <w:tab w:val="left" w:pos="567"/>
          <w:tab w:val="num" w:pos="12305"/>
        </w:tabs>
        <w:spacing w:line="240" w:lineRule="auto"/>
        <w:rPr>
          <w:rFonts w:eastAsia="Batang"/>
          <w:lang w:eastAsia="en-US"/>
        </w:rPr>
      </w:pPr>
    </w:p>
    <w:p w14:paraId="4359DA54" w14:textId="0634B038" w:rsidR="00075A44" w:rsidRPr="00F0074A" w:rsidRDefault="00075A44" w:rsidP="00E06F63">
      <w:pPr>
        <w:numPr>
          <w:ilvl w:val="0"/>
          <w:numId w:val="11"/>
        </w:numPr>
        <w:tabs>
          <w:tab w:val="left" w:pos="567"/>
          <w:tab w:val="num" w:pos="1569"/>
          <w:tab w:val="num" w:pos="12305"/>
        </w:tabs>
        <w:spacing w:line="240" w:lineRule="auto"/>
        <w:ind w:left="0" w:firstLine="0"/>
        <w:rPr>
          <w:rFonts w:eastAsia="Batang"/>
          <w:lang w:eastAsia="en-US"/>
        </w:rPr>
      </w:pPr>
      <w:r w:rsidRPr="00F0074A">
        <w:rPr>
          <w:rFonts w:eastAsia="Batang"/>
          <w:lang w:eastAsia="en-US"/>
        </w:rPr>
        <w:t xml:space="preserve">La </w:t>
      </w:r>
      <w:r w:rsidRPr="00F0074A">
        <w:rPr>
          <w:rFonts w:eastAsia="Batang"/>
          <w:b/>
          <w:i/>
          <w:lang w:eastAsia="en-US"/>
        </w:rPr>
        <w:t>Comisión</w:t>
      </w:r>
      <w:r w:rsidRPr="00F0074A">
        <w:rPr>
          <w:rFonts w:eastAsia="Batang"/>
          <w:lang w:eastAsia="en-US"/>
        </w:rPr>
        <w:t xml:space="preserve"> consideró que el plant</w:t>
      </w:r>
      <w:r w:rsidR="002A2505" w:rsidRPr="00F0074A">
        <w:rPr>
          <w:rFonts w:eastAsia="Batang"/>
          <w:lang w:eastAsia="en-US"/>
        </w:rPr>
        <w:t>eamiento del Estado no constituía</w:t>
      </w:r>
      <w:r w:rsidRPr="00F0074A">
        <w:rPr>
          <w:rFonts w:eastAsia="Batang"/>
          <w:lang w:eastAsia="en-US"/>
        </w:rPr>
        <w:t xml:space="preserve"> una excepción preliminar, sino que se trata</w:t>
      </w:r>
      <w:r w:rsidR="002A2505" w:rsidRPr="00F0074A">
        <w:rPr>
          <w:rFonts w:eastAsia="Batang"/>
          <w:lang w:eastAsia="en-US"/>
        </w:rPr>
        <w:t>ba de una cuestión que correspondía</w:t>
      </w:r>
      <w:r w:rsidRPr="00F0074A">
        <w:rPr>
          <w:rFonts w:eastAsia="Batang"/>
          <w:lang w:eastAsia="en-US"/>
        </w:rPr>
        <w:t xml:space="preserve"> al fondo del asunto. </w:t>
      </w:r>
    </w:p>
    <w:p w14:paraId="6919AEB7" w14:textId="77777777" w:rsidR="00075A44" w:rsidRPr="00F0074A" w:rsidRDefault="00075A44" w:rsidP="00E06F63">
      <w:pPr>
        <w:tabs>
          <w:tab w:val="left" w:pos="567"/>
        </w:tabs>
        <w:spacing w:line="240" w:lineRule="auto"/>
        <w:rPr>
          <w:rFonts w:eastAsia="Batang"/>
          <w:lang w:eastAsia="en-US"/>
        </w:rPr>
      </w:pPr>
    </w:p>
    <w:p w14:paraId="19509965" w14:textId="470DB800" w:rsidR="00075A44" w:rsidRPr="00F0074A" w:rsidRDefault="00075A44" w:rsidP="00E06F63">
      <w:pPr>
        <w:numPr>
          <w:ilvl w:val="0"/>
          <w:numId w:val="11"/>
        </w:numPr>
        <w:tabs>
          <w:tab w:val="left" w:pos="567"/>
          <w:tab w:val="num" w:pos="1569"/>
          <w:tab w:val="num" w:pos="12305"/>
        </w:tabs>
        <w:spacing w:line="240" w:lineRule="auto"/>
        <w:ind w:left="0" w:firstLine="0"/>
        <w:rPr>
          <w:rFonts w:eastAsia="Batang"/>
          <w:lang w:eastAsia="en-US"/>
        </w:rPr>
      </w:pPr>
      <w:r w:rsidRPr="00F0074A">
        <w:rPr>
          <w:rFonts w:eastAsia="Batang"/>
          <w:lang w:eastAsia="en-US"/>
        </w:rPr>
        <w:t xml:space="preserve">Los </w:t>
      </w:r>
      <w:r w:rsidRPr="00F0074A">
        <w:rPr>
          <w:rFonts w:eastAsia="Batang"/>
          <w:b/>
          <w:i/>
          <w:lang w:eastAsia="en-US"/>
        </w:rPr>
        <w:t>representantes</w:t>
      </w:r>
      <w:r w:rsidRPr="00F0074A">
        <w:rPr>
          <w:rFonts w:eastAsia="Batang"/>
          <w:lang w:eastAsia="en-US"/>
        </w:rPr>
        <w:t xml:space="preserve"> resaltaron que al momento de la demanda internacional, el señor Jenkins se encontraba privado de </w:t>
      </w:r>
      <w:r w:rsidRPr="00F0074A">
        <w:t>libertad</w:t>
      </w:r>
      <w:r w:rsidR="004966F0" w:rsidRPr="00F0074A">
        <w:rPr>
          <w:rFonts w:eastAsia="Batang"/>
          <w:lang w:eastAsia="en-US"/>
        </w:rPr>
        <w:t>,</w:t>
      </w:r>
      <w:r w:rsidRPr="00F0074A">
        <w:rPr>
          <w:rFonts w:eastAsia="Batang"/>
          <w:lang w:eastAsia="en-US"/>
        </w:rPr>
        <w:t xml:space="preserve"> por lo que dicha</w:t>
      </w:r>
      <w:r w:rsidR="004966F0" w:rsidRPr="00F0074A">
        <w:rPr>
          <w:rFonts w:eastAsia="Batang"/>
          <w:lang w:eastAsia="en-US"/>
        </w:rPr>
        <w:t xml:space="preserve"> soli</w:t>
      </w:r>
      <w:r w:rsidR="00A905B0">
        <w:rPr>
          <w:rFonts w:eastAsia="Batang"/>
          <w:lang w:eastAsia="en-US"/>
        </w:rPr>
        <w:t>ci</w:t>
      </w:r>
      <w:r w:rsidR="004966F0" w:rsidRPr="00F0074A">
        <w:rPr>
          <w:rFonts w:eastAsia="Batang"/>
          <w:lang w:eastAsia="en-US"/>
        </w:rPr>
        <w:t xml:space="preserve">tud se encontró motivada. </w:t>
      </w:r>
      <w:r w:rsidR="002A2505" w:rsidRPr="00F0074A">
        <w:rPr>
          <w:rFonts w:eastAsia="Batang"/>
          <w:lang w:eastAsia="en-US"/>
        </w:rPr>
        <w:t>Indicaron</w:t>
      </w:r>
      <w:r w:rsidR="004966F0" w:rsidRPr="00F0074A">
        <w:rPr>
          <w:rFonts w:eastAsia="Batang"/>
          <w:lang w:eastAsia="en-US"/>
        </w:rPr>
        <w:t xml:space="preserve"> además</w:t>
      </w:r>
      <w:r w:rsidRPr="00F0074A">
        <w:rPr>
          <w:rFonts w:eastAsia="Batang"/>
          <w:lang w:eastAsia="en-US"/>
        </w:rPr>
        <w:t xml:space="preserve"> qu</w:t>
      </w:r>
      <w:r w:rsidR="004966F0" w:rsidRPr="00F0074A">
        <w:rPr>
          <w:rFonts w:eastAsia="Batang"/>
          <w:lang w:eastAsia="en-US"/>
        </w:rPr>
        <w:t>e</w:t>
      </w:r>
      <w:r w:rsidR="002A2505" w:rsidRPr="00F0074A">
        <w:rPr>
          <w:rFonts w:eastAsia="Batang"/>
          <w:lang w:eastAsia="en-US"/>
        </w:rPr>
        <w:t>,</w:t>
      </w:r>
      <w:r w:rsidR="004966F0" w:rsidRPr="00F0074A">
        <w:rPr>
          <w:rFonts w:eastAsia="Batang"/>
          <w:lang w:eastAsia="en-US"/>
        </w:rPr>
        <w:t xml:space="preserve"> si bien dicha situación cambió</w:t>
      </w:r>
      <w:r w:rsidRPr="00F0074A">
        <w:rPr>
          <w:rFonts w:eastAsia="Batang"/>
          <w:lang w:eastAsia="en-US"/>
        </w:rPr>
        <w:t xml:space="preserve"> al momento de su liberación, lo que deb</w:t>
      </w:r>
      <w:r w:rsidR="002A2505" w:rsidRPr="00F0074A">
        <w:rPr>
          <w:rFonts w:eastAsia="Batang"/>
          <w:lang w:eastAsia="en-US"/>
        </w:rPr>
        <w:t>ía</w:t>
      </w:r>
      <w:r w:rsidRPr="00F0074A">
        <w:rPr>
          <w:rFonts w:eastAsia="Batang"/>
          <w:lang w:eastAsia="en-US"/>
        </w:rPr>
        <w:t xml:space="preserve"> analizarse al respecto </w:t>
      </w:r>
      <w:r w:rsidR="002A2505" w:rsidRPr="00F0074A">
        <w:rPr>
          <w:rFonts w:eastAsia="Batang"/>
          <w:lang w:eastAsia="en-US"/>
        </w:rPr>
        <w:t>era</w:t>
      </w:r>
      <w:r w:rsidRPr="00F0074A">
        <w:rPr>
          <w:rFonts w:eastAsia="Batang"/>
          <w:lang w:eastAsia="en-US"/>
        </w:rPr>
        <w:t xml:space="preserve"> si </w:t>
      </w:r>
      <w:r w:rsidR="004966F0" w:rsidRPr="00F0074A">
        <w:rPr>
          <w:rFonts w:eastAsia="Batang"/>
          <w:lang w:eastAsia="en-US"/>
        </w:rPr>
        <w:t xml:space="preserve">la responsabilidad internacional de un Estado </w:t>
      </w:r>
      <w:r w:rsidRPr="00F0074A">
        <w:rPr>
          <w:rFonts w:eastAsia="Batang"/>
          <w:lang w:eastAsia="en-US"/>
        </w:rPr>
        <w:t>termina al cesar el hecho que causó una vul</w:t>
      </w:r>
      <w:r w:rsidR="004966F0" w:rsidRPr="00F0074A">
        <w:rPr>
          <w:rFonts w:eastAsia="Batang"/>
          <w:lang w:eastAsia="en-US"/>
        </w:rPr>
        <w:t>neración a los derechos humanos</w:t>
      </w:r>
      <w:r w:rsidRPr="00F0074A">
        <w:rPr>
          <w:rFonts w:eastAsia="Batang"/>
          <w:lang w:eastAsia="en-US"/>
        </w:rPr>
        <w:t xml:space="preserve">. </w:t>
      </w:r>
    </w:p>
    <w:p w14:paraId="44197548" w14:textId="77777777" w:rsidR="00075A44" w:rsidRPr="00F0074A" w:rsidRDefault="00075A44" w:rsidP="00E06F63">
      <w:pPr>
        <w:pStyle w:val="Ttulo3"/>
      </w:pPr>
      <w:r w:rsidRPr="00F0074A">
        <w:tab/>
      </w:r>
      <w:bookmarkStart w:id="21" w:name="_Toc27405402"/>
      <w:r w:rsidRPr="00F0074A">
        <w:t>a.2 Consideraciones de la Corte</w:t>
      </w:r>
      <w:bookmarkEnd w:id="21"/>
    </w:p>
    <w:p w14:paraId="1FB530D6" w14:textId="7A062BD0" w:rsidR="00075A44" w:rsidRPr="00F0074A" w:rsidRDefault="00913C29" w:rsidP="00E06F63">
      <w:pPr>
        <w:numPr>
          <w:ilvl w:val="0"/>
          <w:numId w:val="11"/>
        </w:numPr>
        <w:tabs>
          <w:tab w:val="left" w:pos="567"/>
          <w:tab w:val="num" w:pos="1569"/>
          <w:tab w:val="num" w:pos="12305"/>
        </w:tabs>
        <w:spacing w:line="240" w:lineRule="auto"/>
        <w:ind w:left="0" w:firstLine="0"/>
        <w:rPr>
          <w:rFonts w:eastAsia="Batang"/>
          <w:lang w:eastAsia="en-US"/>
        </w:rPr>
      </w:pPr>
      <w:r w:rsidRPr="00F0074A">
        <w:rPr>
          <w:rFonts w:cs="Arial"/>
        </w:rPr>
        <w:t xml:space="preserve">En primer lugar, la Corte considera que </w:t>
      </w:r>
      <w:r w:rsidR="00146B66">
        <w:rPr>
          <w:rFonts w:cs="Arial"/>
        </w:rPr>
        <w:t>la absolución d</w:t>
      </w:r>
      <w:r w:rsidRPr="00F0074A">
        <w:rPr>
          <w:rFonts w:cs="Arial"/>
        </w:rPr>
        <w:t xml:space="preserve">el señor Jenkins </w:t>
      </w:r>
      <w:r w:rsidR="00146B66">
        <w:rPr>
          <w:rFonts w:cs="Arial"/>
        </w:rPr>
        <w:t xml:space="preserve">en diciembre de 1997 </w:t>
      </w:r>
      <w:r w:rsidRPr="00F0074A">
        <w:rPr>
          <w:rFonts w:cs="Arial"/>
        </w:rPr>
        <w:t>no</w:t>
      </w:r>
      <w:r w:rsidR="00CA678F">
        <w:rPr>
          <w:rFonts w:cs="Arial"/>
        </w:rPr>
        <w:t xml:space="preserve"> afecta la competencia de la Corte para </w:t>
      </w:r>
      <w:r w:rsidR="00146B66">
        <w:rPr>
          <w:rFonts w:cs="Arial"/>
        </w:rPr>
        <w:t xml:space="preserve">examinar </w:t>
      </w:r>
      <w:r w:rsidRPr="00F0074A">
        <w:rPr>
          <w:rFonts w:cs="Arial"/>
        </w:rPr>
        <w:t xml:space="preserve">los hechos </w:t>
      </w:r>
      <w:r w:rsidR="00CA678F">
        <w:rPr>
          <w:rFonts w:cs="Arial"/>
        </w:rPr>
        <w:t>d</w:t>
      </w:r>
      <w:r w:rsidRPr="00F0074A">
        <w:rPr>
          <w:rFonts w:cs="Arial"/>
        </w:rPr>
        <w:t>el presente caso</w:t>
      </w:r>
      <w:r w:rsidR="002A2505" w:rsidRPr="00F0074A">
        <w:rPr>
          <w:rFonts w:cs="Arial"/>
        </w:rPr>
        <w:t xml:space="preserve">, </w:t>
      </w:r>
      <w:r w:rsidRPr="00F0074A">
        <w:rPr>
          <w:rFonts w:cs="Arial"/>
        </w:rPr>
        <w:t xml:space="preserve">esto es, </w:t>
      </w:r>
      <w:r w:rsidR="00997C54">
        <w:t>su</w:t>
      </w:r>
      <w:r w:rsidRPr="00F0074A">
        <w:t xml:space="preserve"> alegada privación arbitraria de la libertad desde el 8 de junio de 1994 hasta el 13 de noviembre de 1997</w:t>
      </w:r>
      <w:r w:rsidRPr="00F0074A">
        <w:rPr>
          <w:rFonts w:eastAsia="Times"/>
        </w:rPr>
        <w:t xml:space="preserve">, así como la duración del procedimiento relativo a </w:t>
      </w:r>
      <w:r w:rsidRPr="00F0074A">
        <w:rPr>
          <w:rFonts w:cs="Arial"/>
        </w:rPr>
        <w:t xml:space="preserve">la acción civil de daños y perjuicios </w:t>
      </w:r>
      <w:r w:rsidR="00146B66">
        <w:rPr>
          <w:rFonts w:cs="Arial"/>
        </w:rPr>
        <w:t>que presentó</w:t>
      </w:r>
      <w:r w:rsidR="00127CF0">
        <w:rPr>
          <w:rFonts w:cs="Arial"/>
        </w:rPr>
        <w:t>, los cuales son el objeto del análisis del fondo de la controversia</w:t>
      </w:r>
      <w:r w:rsidRPr="00F0074A">
        <w:rPr>
          <w:rFonts w:cs="Arial"/>
        </w:rPr>
        <w:t xml:space="preserve">. </w:t>
      </w:r>
      <w:r w:rsidR="004966F0" w:rsidRPr="00F0074A">
        <w:rPr>
          <w:rFonts w:cs="Arial"/>
        </w:rPr>
        <w:t xml:space="preserve">En </w:t>
      </w:r>
      <w:r w:rsidR="00F662B3" w:rsidRPr="00F0074A">
        <w:rPr>
          <w:rFonts w:cs="Arial"/>
        </w:rPr>
        <w:t>segundo</w:t>
      </w:r>
      <w:r w:rsidR="004966F0" w:rsidRPr="00F0074A">
        <w:rPr>
          <w:rFonts w:cs="Arial"/>
        </w:rPr>
        <w:t xml:space="preserve"> lugar, </w:t>
      </w:r>
      <w:r w:rsidR="00F662B3" w:rsidRPr="00F0074A">
        <w:rPr>
          <w:rFonts w:cs="Arial"/>
        </w:rPr>
        <w:t>l</w:t>
      </w:r>
      <w:r w:rsidR="004966F0" w:rsidRPr="00F0074A">
        <w:rPr>
          <w:rFonts w:cs="Arial"/>
        </w:rPr>
        <w:t xml:space="preserve">a Corte advierte que uno de los aspectos de </w:t>
      </w:r>
      <w:r w:rsidR="004966F0" w:rsidRPr="00F0074A">
        <w:t>análisis</w:t>
      </w:r>
      <w:r w:rsidR="004966F0" w:rsidRPr="00F0074A">
        <w:rPr>
          <w:rFonts w:cs="Arial"/>
        </w:rPr>
        <w:t xml:space="preserve"> en el presente caso consiste en determinar la compatibilidad del </w:t>
      </w:r>
      <w:r w:rsidR="004966F0" w:rsidRPr="00F0074A">
        <w:rPr>
          <w:rFonts w:eastAsia="Batang"/>
          <w:lang w:eastAsia="en-US"/>
        </w:rPr>
        <w:t>artículo 10 de la Ley</w:t>
      </w:r>
      <w:r w:rsidR="002C0A4A">
        <w:rPr>
          <w:rFonts w:eastAsia="Batang"/>
          <w:lang w:eastAsia="en-US"/>
        </w:rPr>
        <w:t xml:space="preserve"> No.</w:t>
      </w:r>
      <w:r w:rsidR="004966F0" w:rsidRPr="00F0074A">
        <w:rPr>
          <w:rFonts w:eastAsia="Batang"/>
          <w:lang w:eastAsia="en-US"/>
        </w:rPr>
        <w:t xml:space="preserve"> 24.390</w:t>
      </w:r>
      <w:r w:rsidR="00146B66">
        <w:rPr>
          <w:rFonts w:eastAsia="Batang"/>
          <w:lang w:eastAsia="en-US"/>
        </w:rPr>
        <w:t>, cuando fue</w:t>
      </w:r>
      <w:r w:rsidR="001A3D54">
        <w:rPr>
          <w:rFonts w:eastAsia="Batang"/>
          <w:lang w:eastAsia="en-US"/>
        </w:rPr>
        <w:t xml:space="preserve"> </w:t>
      </w:r>
      <w:r w:rsidRPr="00F0074A">
        <w:rPr>
          <w:rFonts w:cs="Arial"/>
        </w:rPr>
        <w:t>aplicada al señor Jenkins</w:t>
      </w:r>
      <w:r w:rsidR="0084377A">
        <w:rPr>
          <w:rFonts w:cs="Arial"/>
        </w:rPr>
        <w:t>,</w:t>
      </w:r>
      <w:r w:rsidRPr="00F0074A">
        <w:rPr>
          <w:rFonts w:cs="Arial"/>
        </w:rPr>
        <w:t xml:space="preserve"> y la Convención Americana</w:t>
      </w:r>
      <w:r w:rsidR="00055DA5">
        <w:rPr>
          <w:rFonts w:cs="Arial"/>
        </w:rPr>
        <w:t xml:space="preserve">, razón por la cual la </w:t>
      </w:r>
      <w:r w:rsidR="0084377A">
        <w:rPr>
          <w:rFonts w:cs="Arial"/>
        </w:rPr>
        <w:t>alegada</w:t>
      </w:r>
      <w:r w:rsidR="00055DA5">
        <w:rPr>
          <w:rFonts w:cs="Arial"/>
        </w:rPr>
        <w:t xml:space="preserve"> declaratoria de inconstitucionalidad de la ley no priva de competencia a este Tribunal para pronunciarse sobre este extremo al momento en que ocurrieron los hechos del presente caso</w:t>
      </w:r>
      <w:r w:rsidR="004966F0" w:rsidRPr="00F0074A">
        <w:rPr>
          <w:rFonts w:cs="Arial"/>
        </w:rPr>
        <w:t xml:space="preserve">. </w:t>
      </w:r>
      <w:r w:rsidRPr="00F0074A">
        <w:rPr>
          <w:rFonts w:cs="Arial"/>
        </w:rPr>
        <w:t xml:space="preserve">La Corte observa que </w:t>
      </w:r>
      <w:r w:rsidR="004966F0" w:rsidRPr="00F0074A">
        <w:rPr>
          <w:rFonts w:cs="Arial"/>
        </w:rPr>
        <w:t xml:space="preserve">esta cuestión </w:t>
      </w:r>
      <w:r w:rsidRPr="00F0074A">
        <w:rPr>
          <w:rFonts w:cs="Arial"/>
        </w:rPr>
        <w:t>corresponde al fondo del asunto</w:t>
      </w:r>
      <w:r w:rsidR="004966F0" w:rsidRPr="00F0074A">
        <w:rPr>
          <w:rFonts w:cs="Arial"/>
        </w:rPr>
        <w:t>. En</w:t>
      </w:r>
      <w:r w:rsidR="00F662B3" w:rsidRPr="00F0074A">
        <w:rPr>
          <w:rFonts w:cs="Arial"/>
        </w:rPr>
        <w:t xml:space="preserve"> </w:t>
      </w:r>
      <w:r w:rsidR="004966F0" w:rsidRPr="00F0074A">
        <w:rPr>
          <w:rFonts w:cs="Arial"/>
        </w:rPr>
        <w:t xml:space="preserve">razón de </w:t>
      </w:r>
      <w:r w:rsidRPr="00F0074A">
        <w:rPr>
          <w:rFonts w:cs="Arial"/>
        </w:rPr>
        <w:t>todo lo anterior</w:t>
      </w:r>
      <w:r w:rsidR="004966F0" w:rsidRPr="00F0074A">
        <w:rPr>
          <w:rFonts w:cs="Arial"/>
        </w:rPr>
        <w:t>, la Corte desestima</w:t>
      </w:r>
      <w:r w:rsidR="00F662B3" w:rsidRPr="00F0074A">
        <w:rPr>
          <w:rFonts w:cs="Arial"/>
        </w:rPr>
        <w:t xml:space="preserve"> </w:t>
      </w:r>
      <w:r w:rsidR="004966F0" w:rsidRPr="00F0074A">
        <w:rPr>
          <w:rFonts w:cs="Arial"/>
        </w:rPr>
        <w:t>la excepción preliminar</w:t>
      </w:r>
      <w:r w:rsidR="00F662B3" w:rsidRPr="00F0074A">
        <w:rPr>
          <w:rFonts w:cs="Arial"/>
        </w:rPr>
        <w:t xml:space="preserve"> </w:t>
      </w:r>
      <w:r w:rsidR="002A2505" w:rsidRPr="00F0074A">
        <w:rPr>
          <w:rFonts w:cs="Arial"/>
        </w:rPr>
        <w:t xml:space="preserve">interpuesta por </w:t>
      </w:r>
      <w:r w:rsidR="004966F0" w:rsidRPr="00F0074A">
        <w:rPr>
          <w:rFonts w:cs="Arial"/>
        </w:rPr>
        <w:t>el Estado.</w:t>
      </w:r>
    </w:p>
    <w:p w14:paraId="051F47E1" w14:textId="0D5DD08B" w:rsidR="00075A44" w:rsidRPr="00F0074A" w:rsidRDefault="0061213A" w:rsidP="00E06F63">
      <w:pPr>
        <w:pStyle w:val="Ttulo2"/>
      </w:pPr>
      <w:bookmarkStart w:id="22" w:name="_Toc27405403"/>
      <w:r w:rsidRPr="00F0074A">
        <w:t>B.</w:t>
      </w:r>
      <w:r w:rsidR="00075A44" w:rsidRPr="00F0074A">
        <w:tab/>
      </w:r>
      <w:r w:rsidR="00390E2D">
        <w:t xml:space="preserve"> </w:t>
      </w:r>
      <w:r w:rsidR="00075A44" w:rsidRPr="00F0074A">
        <w:t>Falta de agotamiento de los recursos internos</w:t>
      </w:r>
      <w:bookmarkEnd w:id="22"/>
    </w:p>
    <w:p w14:paraId="1C1536D1" w14:textId="77777777" w:rsidR="00075A44" w:rsidRPr="00F0074A" w:rsidRDefault="00075A44" w:rsidP="00E06F63">
      <w:pPr>
        <w:pStyle w:val="Ttulo3"/>
      </w:pPr>
      <w:r w:rsidRPr="00F0074A">
        <w:tab/>
      </w:r>
      <w:bookmarkStart w:id="23" w:name="_Toc27405404"/>
      <w:r w:rsidRPr="00F0074A">
        <w:t>b.1 Alegatos de las partes y de la Comisión</w:t>
      </w:r>
      <w:bookmarkEnd w:id="23"/>
    </w:p>
    <w:p w14:paraId="74E4AC9D" w14:textId="2A2BC257" w:rsidR="00075A44" w:rsidRPr="00F0074A" w:rsidRDefault="00075A44" w:rsidP="00E06F63">
      <w:pPr>
        <w:numPr>
          <w:ilvl w:val="0"/>
          <w:numId w:val="11"/>
        </w:numPr>
        <w:tabs>
          <w:tab w:val="left" w:pos="567"/>
          <w:tab w:val="num" w:pos="1569"/>
          <w:tab w:val="num" w:pos="12305"/>
        </w:tabs>
        <w:spacing w:line="240" w:lineRule="auto"/>
        <w:ind w:left="0" w:firstLine="0"/>
        <w:rPr>
          <w:rFonts w:eastAsia="Batang"/>
          <w:lang w:eastAsia="en-US"/>
        </w:rPr>
      </w:pPr>
      <w:r w:rsidRPr="00F0074A">
        <w:rPr>
          <w:rFonts w:eastAsia="Batang"/>
          <w:lang w:eastAsia="en-US"/>
        </w:rPr>
        <w:t xml:space="preserve">El </w:t>
      </w:r>
      <w:r w:rsidRPr="00F0074A">
        <w:rPr>
          <w:rFonts w:eastAsia="Batang"/>
          <w:b/>
          <w:i/>
          <w:lang w:eastAsia="en-US"/>
        </w:rPr>
        <w:t>Estado</w:t>
      </w:r>
      <w:r w:rsidRPr="00F0074A">
        <w:rPr>
          <w:rFonts w:eastAsia="Batang"/>
          <w:lang w:eastAsia="en-US"/>
        </w:rPr>
        <w:t xml:space="preserve"> adujo que tanto al momento de la interposición de la denuncia ante la Comisión, como d</w:t>
      </w:r>
      <w:r w:rsidR="00220E54" w:rsidRPr="00F0074A">
        <w:rPr>
          <w:rFonts w:eastAsia="Batang"/>
          <w:lang w:eastAsia="en-US"/>
        </w:rPr>
        <w:t>e la posterior comunicación al E</w:t>
      </w:r>
      <w:r w:rsidRPr="00F0074A">
        <w:rPr>
          <w:rFonts w:eastAsia="Batang"/>
          <w:lang w:eastAsia="en-US"/>
        </w:rPr>
        <w:t xml:space="preserve">stado argentino, y de la contestación por parte de éste, no </w:t>
      </w:r>
      <w:r w:rsidR="00727C92" w:rsidRPr="00F0074A">
        <w:rPr>
          <w:rFonts w:eastAsia="Batang"/>
          <w:lang w:eastAsia="en-US"/>
        </w:rPr>
        <w:t xml:space="preserve">se había interpuesto </w:t>
      </w:r>
      <w:r w:rsidRPr="00F0074A">
        <w:rPr>
          <w:rFonts w:eastAsia="Batang"/>
          <w:lang w:eastAsia="en-US"/>
        </w:rPr>
        <w:t xml:space="preserve">en el ámbito de la jurisdicción interna </w:t>
      </w:r>
      <w:r w:rsidR="00727C92" w:rsidRPr="00F0074A">
        <w:rPr>
          <w:rFonts w:eastAsia="Batang"/>
          <w:lang w:eastAsia="en-US"/>
        </w:rPr>
        <w:t xml:space="preserve">la </w:t>
      </w:r>
      <w:r w:rsidRPr="00F0074A">
        <w:rPr>
          <w:rFonts w:eastAsia="Batang"/>
          <w:lang w:eastAsia="en-US"/>
        </w:rPr>
        <w:t xml:space="preserve">acción de daños y perjuicios que motivaron la petición en sede internacional. </w:t>
      </w:r>
      <w:r w:rsidR="00727C92" w:rsidRPr="00F0074A">
        <w:rPr>
          <w:rFonts w:eastAsia="Batang"/>
          <w:lang w:eastAsia="en-US"/>
        </w:rPr>
        <w:t>A</w:t>
      </w:r>
      <w:r w:rsidRPr="00F0074A">
        <w:rPr>
          <w:rFonts w:eastAsia="Batang"/>
          <w:lang w:eastAsia="en-US"/>
        </w:rPr>
        <w:t>firmó que desde su prime</w:t>
      </w:r>
      <w:r w:rsidR="00220E54" w:rsidRPr="00F0074A">
        <w:rPr>
          <w:rFonts w:eastAsia="Batang"/>
          <w:lang w:eastAsia="en-US"/>
        </w:rPr>
        <w:t>ra comunicación con la Comisión</w:t>
      </w:r>
      <w:r w:rsidRPr="00F0074A">
        <w:rPr>
          <w:rFonts w:eastAsia="Batang"/>
          <w:lang w:eastAsia="en-US"/>
        </w:rPr>
        <w:t xml:space="preserve"> surgía claramente que el peticionario tenía la titularidad del ejercicio por acción de daños y perjuicios en los términos del Código Civil argentino vigente al momento de los hechos. Sin embargo, indicó que no fue hasta el 27 de diciembre de 1999 que promovió dicho recurso en el fuero contencioso administrativo. </w:t>
      </w:r>
    </w:p>
    <w:p w14:paraId="03BF0830" w14:textId="77777777" w:rsidR="00075A44" w:rsidRPr="00F0074A" w:rsidRDefault="00075A44" w:rsidP="00E06F63">
      <w:pPr>
        <w:tabs>
          <w:tab w:val="left" w:pos="567"/>
          <w:tab w:val="num" w:pos="12305"/>
        </w:tabs>
        <w:spacing w:line="240" w:lineRule="auto"/>
        <w:rPr>
          <w:rFonts w:eastAsia="Batang"/>
          <w:lang w:eastAsia="en-US"/>
        </w:rPr>
      </w:pPr>
    </w:p>
    <w:p w14:paraId="52A9C45F" w14:textId="6BCB4B03" w:rsidR="00075A44" w:rsidRPr="00F0074A" w:rsidRDefault="00075A44" w:rsidP="00E06F63">
      <w:pPr>
        <w:numPr>
          <w:ilvl w:val="0"/>
          <w:numId w:val="11"/>
        </w:numPr>
        <w:tabs>
          <w:tab w:val="left" w:pos="567"/>
          <w:tab w:val="num" w:pos="1569"/>
          <w:tab w:val="num" w:pos="12305"/>
        </w:tabs>
        <w:spacing w:line="240" w:lineRule="auto"/>
        <w:ind w:left="0" w:firstLine="0"/>
        <w:rPr>
          <w:rFonts w:eastAsiaTheme="minorHAnsi"/>
          <w:color w:val="131313"/>
          <w:lang w:eastAsia="en-US"/>
        </w:rPr>
      </w:pPr>
      <w:r w:rsidRPr="00F0074A">
        <w:rPr>
          <w:rFonts w:eastAsia="Batang"/>
          <w:lang w:eastAsia="en-US"/>
        </w:rPr>
        <w:t xml:space="preserve">La </w:t>
      </w:r>
      <w:r w:rsidRPr="00F0074A">
        <w:rPr>
          <w:rFonts w:eastAsia="Batang"/>
          <w:b/>
          <w:i/>
          <w:lang w:eastAsia="en-US"/>
        </w:rPr>
        <w:t>Comisión</w:t>
      </w:r>
      <w:r w:rsidRPr="00F0074A">
        <w:rPr>
          <w:rFonts w:eastAsia="Batang"/>
          <w:lang w:eastAsia="en-US"/>
        </w:rPr>
        <w:t xml:space="preserve"> reiteró que la Convención Americana le atribuye primariamente las decisiones </w:t>
      </w:r>
      <w:r w:rsidRPr="00F0074A">
        <w:rPr>
          <w:rFonts w:eastAsia="Batang"/>
          <w:lang w:eastAsia="en-US"/>
        </w:rPr>
        <w:lastRenderedPageBreak/>
        <w:t xml:space="preserve">en materia de admisibilidad, por lo que lo decidido no debería ser objeto de un nuevo examen en etapas posteriores del procedimiento. Asimismo, consideró que corresponde a la Corte mantener deferencia frente a lo </w:t>
      </w:r>
      <w:r w:rsidRPr="00F0074A">
        <w:t>decidido</w:t>
      </w:r>
      <w:r w:rsidRPr="00F0074A">
        <w:rPr>
          <w:rFonts w:eastAsia="Batang"/>
          <w:lang w:eastAsia="en-US"/>
        </w:rPr>
        <w:t xml:space="preserve"> </w:t>
      </w:r>
      <w:r w:rsidR="002A2505" w:rsidRPr="00F0074A">
        <w:rPr>
          <w:rFonts w:eastAsia="Batang"/>
          <w:lang w:eastAsia="en-US"/>
        </w:rPr>
        <w:t>por la Comisión en esta materia. R</w:t>
      </w:r>
      <w:r w:rsidRPr="00F0074A">
        <w:rPr>
          <w:rFonts w:eastAsia="Batang"/>
          <w:lang w:eastAsia="en-US"/>
        </w:rPr>
        <w:t>esaltó que el peticionario agotó todos los recursos disponibles en el ámbito de la jurisdicción interna y, con respecto al proceso contencioso administrativo por daños y perjuicios aplica</w:t>
      </w:r>
      <w:r w:rsidR="00727C92" w:rsidRPr="00F0074A">
        <w:rPr>
          <w:rFonts w:eastAsia="Batang"/>
          <w:lang w:eastAsia="en-US"/>
        </w:rPr>
        <w:t>ba</w:t>
      </w:r>
      <w:r w:rsidRPr="00F0074A">
        <w:rPr>
          <w:rFonts w:eastAsia="Batang"/>
          <w:lang w:eastAsia="en-US"/>
        </w:rPr>
        <w:t xml:space="preserve"> la excepción de retardo injustificado e</w:t>
      </w:r>
      <w:r w:rsidR="00727C92" w:rsidRPr="00F0074A">
        <w:rPr>
          <w:rFonts w:eastAsia="Batang"/>
          <w:lang w:eastAsia="en-US"/>
        </w:rPr>
        <w:t>n la administración de justicia</w:t>
      </w:r>
      <w:r w:rsidRPr="00F0074A">
        <w:rPr>
          <w:rFonts w:eastAsia="Batang"/>
          <w:lang w:eastAsia="en-US"/>
        </w:rPr>
        <w:t xml:space="preserve">. </w:t>
      </w:r>
    </w:p>
    <w:p w14:paraId="55DF4D6C" w14:textId="77777777" w:rsidR="00075A44" w:rsidRPr="00F0074A" w:rsidRDefault="00075A44" w:rsidP="00E06F63">
      <w:pPr>
        <w:pStyle w:val="Prrafodelista"/>
        <w:rPr>
          <w:rFonts w:eastAsia="Batang"/>
          <w:lang w:eastAsia="en-US"/>
        </w:rPr>
      </w:pPr>
    </w:p>
    <w:p w14:paraId="72AA0B10" w14:textId="16E25448" w:rsidR="00075A44" w:rsidRPr="00F0074A" w:rsidRDefault="00075A44" w:rsidP="00E06F63">
      <w:pPr>
        <w:numPr>
          <w:ilvl w:val="0"/>
          <w:numId w:val="11"/>
        </w:numPr>
        <w:tabs>
          <w:tab w:val="left" w:pos="567"/>
          <w:tab w:val="num" w:pos="1569"/>
          <w:tab w:val="num" w:pos="12305"/>
        </w:tabs>
        <w:spacing w:line="240" w:lineRule="auto"/>
        <w:ind w:left="0" w:firstLine="0"/>
        <w:rPr>
          <w:rFonts w:eastAsia="Batang"/>
          <w:lang w:eastAsia="en-US"/>
        </w:rPr>
      </w:pPr>
      <w:r w:rsidRPr="00F0074A">
        <w:rPr>
          <w:rFonts w:eastAsia="Batang"/>
          <w:lang w:eastAsia="en-US"/>
        </w:rPr>
        <w:t xml:space="preserve">Los </w:t>
      </w:r>
      <w:r w:rsidRPr="00F0074A">
        <w:rPr>
          <w:rFonts w:eastAsia="Batang"/>
          <w:b/>
          <w:i/>
          <w:lang w:eastAsia="en-US"/>
        </w:rPr>
        <w:t>representantes</w:t>
      </w:r>
      <w:r w:rsidRPr="00F0074A">
        <w:rPr>
          <w:rFonts w:eastAsia="Batang"/>
          <w:lang w:eastAsia="en-US"/>
        </w:rPr>
        <w:t xml:space="preserve"> </w:t>
      </w:r>
      <w:r w:rsidR="002A2505" w:rsidRPr="00F0074A">
        <w:rPr>
          <w:rFonts w:eastAsia="Batang"/>
          <w:lang w:eastAsia="en-US"/>
        </w:rPr>
        <w:t>indicaron</w:t>
      </w:r>
      <w:r w:rsidRPr="00F0074A">
        <w:rPr>
          <w:rFonts w:eastAsia="Batang"/>
          <w:lang w:eastAsia="en-US"/>
        </w:rPr>
        <w:t xml:space="preserve"> que la Comisión ya se hizo cargo de esta excepción en su escrito de admisibilidad de 13 de octubre de 2004. Asimismo, manifestaron que de los escritos presentados por el señor Jenkins se desprende que se </w:t>
      </w:r>
      <w:r w:rsidRPr="00F0074A">
        <w:t>agotaron</w:t>
      </w:r>
      <w:r w:rsidRPr="00F0074A">
        <w:rPr>
          <w:rFonts w:eastAsia="Batang"/>
          <w:lang w:eastAsia="en-US"/>
        </w:rPr>
        <w:t xml:space="preserve"> los recursos que se tenían disponibles para obtener el beneficio de e</w:t>
      </w:r>
      <w:r w:rsidR="002A2505" w:rsidRPr="00F0074A">
        <w:rPr>
          <w:rFonts w:eastAsia="Batang"/>
          <w:lang w:eastAsia="en-US"/>
        </w:rPr>
        <w:t>xcarcelamiento, hecho que motivó</w:t>
      </w:r>
      <w:r w:rsidRPr="00F0074A">
        <w:rPr>
          <w:rFonts w:eastAsia="Batang"/>
          <w:lang w:eastAsia="en-US"/>
        </w:rPr>
        <w:t xml:space="preserve"> la denuncia internacional en primer lugar. Por último, agregaron que la Corte ha señalado que la vía contencioso</w:t>
      </w:r>
      <w:r w:rsidR="002A2505" w:rsidRPr="00F0074A">
        <w:rPr>
          <w:rFonts w:eastAsia="Batang"/>
          <w:lang w:eastAsia="en-US"/>
        </w:rPr>
        <w:t>-</w:t>
      </w:r>
      <w:r w:rsidRPr="00F0074A">
        <w:rPr>
          <w:rFonts w:eastAsia="Batang"/>
          <w:lang w:eastAsia="en-US"/>
        </w:rPr>
        <w:t xml:space="preserve">administrativa no es un recurso que necesariamente deba ser siempre agotado, por lo que no inhibe la competencia de la Corte para conocer un caso. </w:t>
      </w:r>
    </w:p>
    <w:p w14:paraId="0077550F" w14:textId="77777777" w:rsidR="00075A44" w:rsidRDefault="00075A44" w:rsidP="00E06F63">
      <w:pPr>
        <w:pStyle w:val="Ttulo3"/>
      </w:pPr>
      <w:r w:rsidRPr="00F0074A">
        <w:tab/>
      </w:r>
      <w:bookmarkStart w:id="24" w:name="_Toc27405405"/>
      <w:r w:rsidRPr="00F0074A">
        <w:t>b.2 Consideraciones de la Corte</w:t>
      </w:r>
      <w:bookmarkEnd w:id="24"/>
    </w:p>
    <w:p w14:paraId="7D06D7D1" w14:textId="5B395052" w:rsidR="00220E54" w:rsidRPr="00F0074A" w:rsidRDefault="00220E54" w:rsidP="00E06F63">
      <w:pPr>
        <w:numPr>
          <w:ilvl w:val="0"/>
          <w:numId w:val="11"/>
        </w:numPr>
        <w:tabs>
          <w:tab w:val="left" w:pos="567"/>
          <w:tab w:val="num" w:pos="1569"/>
          <w:tab w:val="num" w:pos="12305"/>
        </w:tabs>
        <w:spacing w:line="240" w:lineRule="auto"/>
        <w:ind w:left="0" w:firstLine="0"/>
        <w:rPr>
          <w:rFonts w:eastAsia="Batang"/>
          <w:lang w:eastAsia="en-US"/>
        </w:rPr>
      </w:pPr>
      <w:r w:rsidRPr="00F0074A">
        <w:rPr>
          <w:rFonts w:eastAsia="Batang"/>
          <w:lang w:eastAsia="en-US"/>
        </w:rPr>
        <w:t xml:space="preserve">El </w:t>
      </w:r>
      <w:r w:rsidR="00E57F25">
        <w:rPr>
          <w:rFonts w:eastAsia="Batang"/>
          <w:lang w:eastAsia="en-US"/>
        </w:rPr>
        <w:t>artículo 46.1.</w:t>
      </w:r>
      <w:r w:rsidRPr="00F0074A">
        <w:rPr>
          <w:rFonts w:eastAsia="Batang"/>
          <w:lang w:eastAsia="en-US"/>
        </w:rPr>
        <w:t>a) de la Convención Americana dispone que</w:t>
      </w:r>
      <w:r w:rsidR="002A2505" w:rsidRPr="00F0074A">
        <w:rPr>
          <w:rFonts w:eastAsia="Batang"/>
          <w:lang w:eastAsia="en-US"/>
        </w:rPr>
        <w:t>,</w:t>
      </w:r>
      <w:r w:rsidRPr="00F0074A">
        <w:rPr>
          <w:rFonts w:eastAsia="Batang"/>
          <w:lang w:eastAsia="en-US"/>
        </w:rPr>
        <w:t xml:space="preserve"> para determinar la admisibilidad de una petición o comunicación presentada ante la Comisión Interamericana, de conformidad con los artículos 44 o 45 de la Convención, es necesario que se hayan interpuesto y agotado los recursos de la jurisdicción interna, conforme a los principios del Derecho Internacional generalmente reconocidos</w:t>
      </w:r>
      <w:r w:rsidRPr="00F0074A">
        <w:rPr>
          <w:rStyle w:val="Refdenotaalpie"/>
          <w:rFonts w:eastAsia="Batang"/>
          <w:lang w:eastAsia="en-US"/>
        </w:rPr>
        <w:footnoteReference w:id="8"/>
      </w:r>
      <w:r w:rsidRPr="00F0074A">
        <w:rPr>
          <w:rFonts w:eastAsia="Batang"/>
          <w:lang w:eastAsia="en-US"/>
        </w:rPr>
        <w:t xml:space="preserve">. </w:t>
      </w:r>
      <w:r w:rsidR="0084377A">
        <w:rPr>
          <w:rFonts w:eastAsia="Batang"/>
          <w:lang w:eastAsia="en-US"/>
        </w:rPr>
        <w:t>P</w:t>
      </w:r>
      <w:r w:rsidRPr="00F0074A">
        <w:rPr>
          <w:rFonts w:cs="Arial"/>
        </w:rPr>
        <w:t>ara que proceda una excepción preliminar a la falta de agotamiento de los recursos internos, el Estado que presenta esta excepción debe especificar los recursos internos que aún no se han agotado, y demostrar que estos recursos se encontraban disponibles y eran adecuados, idóneos y efectivos</w:t>
      </w:r>
      <w:r w:rsidRPr="00F0074A">
        <w:rPr>
          <w:rStyle w:val="Refdenotaalpie"/>
          <w:rFonts w:cs="Arial"/>
        </w:rPr>
        <w:footnoteReference w:id="9"/>
      </w:r>
      <w:r w:rsidR="00D16F9D" w:rsidRPr="00F0074A">
        <w:rPr>
          <w:rFonts w:cs="Arial"/>
        </w:rPr>
        <w:t>.</w:t>
      </w:r>
    </w:p>
    <w:p w14:paraId="0A92760D" w14:textId="77777777" w:rsidR="00D16F9D" w:rsidRPr="00F0074A" w:rsidRDefault="00D16F9D" w:rsidP="00E06F63">
      <w:pPr>
        <w:tabs>
          <w:tab w:val="left" w:pos="567"/>
        </w:tabs>
        <w:spacing w:line="240" w:lineRule="auto"/>
        <w:rPr>
          <w:rFonts w:eastAsia="Batang"/>
          <w:lang w:eastAsia="en-US"/>
        </w:rPr>
      </w:pPr>
    </w:p>
    <w:p w14:paraId="12727DDC" w14:textId="03C80D06" w:rsidR="00E234CC" w:rsidRPr="000A0DA8" w:rsidRDefault="00D16F9D" w:rsidP="00626325">
      <w:pPr>
        <w:numPr>
          <w:ilvl w:val="0"/>
          <w:numId w:val="11"/>
        </w:numPr>
        <w:tabs>
          <w:tab w:val="left" w:pos="567"/>
          <w:tab w:val="num" w:pos="1569"/>
          <w:tab w:val="num" w:pos="12305"/>
        </w:tabs>
        <w:spacing w:line="240" w:lineRule="auto"/>
        <w:ind w:left="0" w:firstLine="0"/>
        <w:rPr>
          <w:rFonts w:eastAsia="Batang"/>
          <w:lang w:eastAsia="en-US"/>
        </w:rPr>
      </w:pPr>
      <w:r w:rsidRPr="000A0DA8">
        <w:rPr>
          <w:rFonts w:eastAsia="Batang"/>
          <w:lang w:eastAsia="en-US"/>
        </w:rPr>
        <w:t>Al respecto, es posible advertir que la excepción planteada fue interpuesta</w:t>
      </w:r>
      <w:r w:rsidR="00DD40EA" w:rsidRPr="000A0DA8">
        <w:rPr>
          <w:rFonts w:eastAsia="Batang"/>
          <w:lang w:eastAsia="en-US"/>
        </w:rPr>
        <w:t xml:space="preserve"> en el marco del procedimiento de admisibilidad ante la Comisión, por lo que fue presentad</w:t>
      </w:r>
      <w:r w:rsidR="001A31E1" w:rsidRPr="000A0DA8">
        <w:rPr>
          <w:rFonts w:eastAsia="Batang"/>
          <w:lang w:eastAsia="en-US"/>
        </w:rPr>
        <w:t>a</w:t>
      </w:r>
      <w:r w:rsidR="00DD40EA" w:rsidRPr="000A0DA8">
        <w:rPr>
          <w:rFonts w:eastAsia="Batang"/>
          <w:lang w:eastAsia="en-US"/>
        </w:rPr>
        <w:t xml:space="preserve"> en la debida oportunidad procesal.</w:t>
      </w:r>
      <w:r w:rsidR="003C695C" w:rsidRPr="000A0DA8">
        <w:rPr>
          <w:rFonts w:eastAsia="Batang"/>
          <w:lang w:eastAsia="en-US"/>
        </w:rPr>
        <w:t xml:space="preserve"> </w:t>
      </w:r>
      <w:r w:rsidR="005665EA" w:rsidRPr="000A0DA8">
        <w:rPr>
          <w:rFonts w:eastAsia="Batang"/>
          <w:lang w:eastAsia="en-US"/>
        </w:rPr>
        <w:t>L</w:t>
      </w:r>
      <w:r w:rsidR="009E5A18" w:rsidRPr="000A0DA8">
        <w:rPr>
          <w:rFonts w:eastAsia="Batang"/>
          <w:lang w:eastAsia="en-US"/>
        </w:rPr>
        <w:t xml:space="preserve">a Comisión </w:t>
      </w:r>
      <w:r w:rsidR="005665EA" w:rsidRPr="000A0DA8">
        <w:rPr>
          <w:rFonts w:eastAsia="Batang"/>
          <w:lang w:eastAsia="en-US"/>
        </w:rPr>
        <w:t xml:space="preserve">rechazó </w:t>
      </w:r>
      <w:r w:rsidR="00543113" w:rsidRPr="000A0DA8">
        <w:rPr>
          <w:rFonts w:cs="Arial"/>
        </w:rPr>
        <w:t>la referida excepción por agotamiento de recursos internos</w:t>
      </w:r>
      <w:r w:rsidR="009E5A18" w:rsidRPr="000A0DA8">
        <w:rPr>
          <w:rFonts w:cs="Arial"/>
        </w:rPr>
        <w:t xml:space="preserve"> en su informe de admisibilidad </w:t>
      </w:r>
      <w:r w:rsidR="00543113" w:rsidRPr="000A0DA8">
        <w:rPr>
          <w:rFonts w:cs="Arial"/>
        </w:rPr>
        <w:t xml:space="preserve">de 13 de octubre de 2004, el cual indicó </w:t>
      </w:r>
      <w:r w:rsidR="009E5A18" w:rsidRPr="000A0DA8">
        <w:rPr>
          <w:rFonts w:cs="Arial"/>
        </w:rPr>
        <w:t xml:space="preserve">que habían transcurrido más de 4 años desde el inicio del proceso contencioso en reclamación de daños y </w:t>
      </w:r>
      <w:r w:rsidR="00543113" w:rsidRPr="000A0DA8">
        <w:rPr>
          <w:rFonts w:cs="Arial"/>
        </w:rPr>
        <w:t>perjuicios</w:t>
      </w:r>
      <w:r w:rsidR="009E5A18" w:rsidRPr="000A0DA8">
        <w:rPr>
          <w:rFonts w:cs="Arial"/>
        </w:rPr>
        <w:t xml:space="preserve"> sin que se hubiera concluido la primera instancia, razón por la cual existió un retardo injustificado en la administración de justicia que permitía invocar la excepción prevista en el artículo 46.2.c de la Convención</w:t>
      </w:r>
      <w:r w:rsidR="009E5A18" w:rsidRPr="00F0074A">
        <w:rPr>
          <w:rStyle w:val="Refdenotaalpie"/>
          <w:rFonts w:cs="Arial"/>
        </w:rPr>
        <w:footnoteReference w:id="10"/>
      </w:r>
      <w:r w:rsidR="009E5A18" w:rsidRPr="000A0DA8">
        <w:rPr>
          <w:rFonts w:cs="Arial"/>
        </w:rPr>
        <w:t>.</w:t>
      </w:r>
      <w:r w:rsidR="00543113" w:rsidRPr="000A0DA8">
        <w:rPr>
          <w:rFonts w:cs="Arial"/>
        </w:rPr>
        <w:t xml:space="preserve"> </w:t>
      </w:r>
      <w:r w:rsidR="00592898" w:rsidRPr="000A0DA8">
        <w:rPr>
          <w:rFonts w:cs="Arial"/>
        </w:rPr>
        <w:t>La Corte observa que, al momento en que se decidió sobre la admisibilidad de la petición ante la Comisión, el señor Jenkins ya había interpuesto la demanda de reclamación de daños y perjuicios</w:t>
      </w:r>
      <w:r w:rsidR="00592898" w:rsidRPr="00F0074A">
        <w:rPr>
          <w:rStyle w:val="Refdenotaalpie"/>
          <w:rFonts w:cs="Arial"/>
        </w:rPr>
        <w:footnoteReference w:id="11"/>
      </w:r>
      <w:r w:rsidR="00592898" w:rsidRPr="000A0DA8">
        <w:rPr>
          <w:rFonts w:cs="Arial"/>
        </w:rPr>
        <w:t>, la cual, según la Comisión, no había sido resuelta debido a un retardo injustificado.</w:t>
      </w:r>
      <w:r w:rsidR="00E57F25">
        <w:rPr>
          <w:rFonts w:cs="Arial"/>
        </w:rPr>
        <w:t xml:space="preserve"> </w:t>
      </w:r>
      <w:r w:rsidR="001813DE" w:rsidRPr="000A0DA8">
        <w:rPr>
          <w:rFonts w:cs="Arial"/>
        </w:rPr>
        <w:t>L</w:t>
      </w:r>
      <w:r w:rsidR="00543113" w:rsidRPr="000A0DA8">
        <w:rPr>
          <w:rFonts w:cs="Arial"/>
        </w:rPr>
        <w:t xml:space="preserve">a Corte estima que el debate sobre el alegado </w:t>
      </w:r>
      <w:r w:rsidR="00543113" w:rsidRPr="000A0DA8">
        <w:rPr>
          <w:rStyle w:val="highlight"/>
          <w:rFonts w:cs="Arial"/>
        </w:rPr>
        <w:t>retardo injustif</w:t>
      </w:r>
      <w:r w:rsidR="00543113" w:rsidRPr="000A0DA8">
        <w:rPr>
          <w:rFonts w:cs="Arial"/>
        </w:rPr>
        <w:t>icado de la investigación de los hechos del caso implica una evaluación sobre las actuaciones del Estado en relación con sus obligaciones de garantizar los derechos reconocidos en la Convención Americana cuya violación se alega, lo cual es un asunto que se encuentra íntimamente relacionado con el fondo de la controversia</w:t>
      </w:r>
      <w:r w:rsidR="00543113" w:rsidRPr="00F0074A">
        <w:rPr>
          <w:rStyle w:val="Refdenotaalpie"/>
          <w:rFonts w:cs="Arial"/>
        </w:rPr>
        <w:footnoteReference w:id="12"/>
      </w:r>
      <w:r w:rsidR="00543113" w:rsidRPr="000A0DA8">
        <w:rPr>
          <w:rFonts w:cs="Arial"/>
        </w:rPr>
        <w:t xml:space="preserve">. Por consiguiente, el Tribunal considera que este argumento del Estado </w:t>
      </w:r>
      <w:r w:rsidR="00543113" w:rsidRPr="000A0DA8">
        <w:rPr>
          <w:rFonts w:cs="Arial"/>
        </w:rPr>
        <w:lastRenderedPageBreak/>
        <w:t>debe ser considerado junto con la cuestión de fondo y no como una excepción preliminar.</w:t>
      </w:r>
    </w:p>
    <w:p w14:paraId="4D532089" w14:textId="77777777" w:rsidR="00075A44" w:rsidRPr="00F0074A" w:rsidRDefault="0061213A" w:rsidP="00E06F63">
      <w:pPr>
        <w:pStyle w:val="Ttulo2"/>
      </w:pPr>
      <w:bookmarkStart w:id="25" w:name="_Toc27405406"/>
      <w:r w:rsidRPr="00F0074A">
        <w:t>C.</w:t>
      </w:r>
      <w:r w:rsidR="00CD3BD1" w:rsidRPr="00F0074A">
        <w:tab/>
        <w:t xml:space="preserve"> </w:t>
      </w:r>
      <w:r w:rsidR="00075A44" w:rsidRPr="00F0074A">
        <w:t>Alteración del objeto procesal del caso por parte de la Comisión</w:t>
      </w:r>
      <w:bookmarkEnd w:id="25"/>
    </w:p>
    <w:p w14:paraId="091409C8" w14:textId="77777777" w:rsidR="00075A44" w:rsidRPr="00F0074A" w:rsidRDefault="00075A44" w:rsidP="00E06F63">
      <w:pPr>
        <w:pStyle w:val="Ttulo3"/>
      </w:pPr>
      <w:r w:rsidRPr="00F0074A">
        <w:tab/>
      </w:r>
      <w:bookmarkStart w:id="26" w:name="_Toc27405407"/>
      <w:r w:rsidRPr="00F0074A">
        <w:t>c.1 Alegatos de las partes y de la Comisión</w:t>
      </w:r>
      <w:bookmarkEnd w:id="26"/>
    </w:p>
    <w:p w14:paraId="60C7E13F" w14:textId="2282BBCE" w:rsidR="00075A44" w:rsidRPr="00F0074A" w:rsidRDefault="00903B4C" w:rsidP="00E06F63">
      <w:pPr>
        <w:numPr>
          <w:ilvl w:val="0"/>
          <w:numId w:val="11"/>
        </w:numPr>
        <w:tabs>
          <w:tab w:val="left" w:pos="567"/>
          <w:tab w:val="num" w:pos="1569"/>
          <w:tab w:val="num" w:pos="12305"/>
        </w:tabs>
        <w:spacing w:line="240" w:lineRule="auto"/>
        <w:ind w:left="0" w:firstLine="0"/>
        <w:rPr>
          <w:rFonts w:eastAsia="Batang"/>
          <w:lang w:eastAsia="en-US"/>
        </w:rPr>
      </w:pPr>
      <w:r w:rsidRPr="00F0074A">
        <w:rPr>
          <w:rFonts w:eastAsia="Batang"/>
          <w:lang w:eastAsia="en-US"/>
        </w:rPr>
        <w:t>Como tercera excepción preliminar, e</w:t>
      </w:r>
      <w:r w:rsidR="00075A44" w:rsidRPr="00F0074A">
        <w:rPr>
          <w:rFonts w:eastAsia="Batang"/>
          <w:lang w:eastAsia="en-US"/>
        </w:rPr>
        <w:t xml:space="preserve">l </w:t>
      </w:r>
      <w:r w:rsidR="00075A44" w:rsidRPr="00F0074A">
        <w:rPr>
          <w:rFonts w:eastAsia="Batang"/>
          <w:b/>
          <w:i/>
          <w:lang w:eastAsia="en-US"/>
        </w:rPr>
        <w:t>Estado</w:t>
      </w:r>
      <w:r w:rsidR="00075A44" w:rsidRPr="00F0074A">
        <w:rPr>
          <w:rFonts w:eastAsia="Batang"/>
          <w:lang w:eastAsia="en-US"/>
        </w:rPr>
        <w:t xml:space="preserve"> sostuvo</w:t>
      </w:r>
      <w:r w:rsidRPr="00F0074A">
        <w:rPr>
          <w:rFonts w:eastAsia="Batang"/>
          <w:lang w:eastAsia="en-US"/>
        </w:rPr>
        <w:t xml:space="preserve"> que se había producido una alteración del objeto procesal por parte de la Comisión Interamericana. Precisó </w:t>
      </w:r>
      <w:r w:rsidR="00075A44" w:rsidRPr="00F0074A">
        <w:rPr>
          <w:rFonts w:eastAsia="Batang"/>
          <w:lang w:eastAsia="en-US"/>
        </w:rPr>
        <w:t xml:space="preserve">que los agravios de hecho y derecho vinculados a la </w:t>
      </w:r>
      <w:r w:rsidR="00075A44" w:rsidRPr="00F0074A">
        <w:t>eventual</w:t>
      </w:r>
      <w:r w:rsidR="00075A44" w:rsidRPr="00F0074A">
        <w:rPr>
          <w:rFonts w:eastAsia="Batang"/>
          <w:lang w:eastAsia="en-US"/>
        </w:rPr>
        <w:t xml:space="preserve"> responsabilidad estatal que conformaban el objeto del caso ante la Comisión se limitaban estrictamente a la cuestión de la prisión preventiva, los recurso</w:t>
      </w:r>
      <w:r w:rsidR="00B4601A">
        <w:rPr>
          <w:rFonts w:eastAsia="Batang"/>
          <w:lang w:eastAsia="en-US"/>
        </w:rPr>
        <w:t>s</w:t>
      </w:r>
      <w:r w:rsidR="00075A44" w:rsidRPr="00F0074A">
        <w:rPr>
          <w:rFonts w:eastAsia="Batang"/>
          <w:lang w:eastAsia="en-US"/>
        </w:rPr>
        <w:t xml:space="preserve"> judiciales emprendidos por la pre</w:t>
      </w:r>
      <w:r w:rsidR="00D34D5C">
        <w:rPr>
          <w:rFonts w:eastAsia="Batang"/>
          <w:lang w:eastAsia="en-US"/>
        </w:rPr>
        <w:t>s</w:t>
      </w:r>
      <w:r w:rsidR="00075A44" w:rsidRPr="00F0074A">
        <w:rPr>
          <w:rFonts w:eastAsia="Batang"/>
          <w:lang w:eastAsia="en-US"/>
        </w:rPr>
        <w:t xml:space="preserve">unta víctima, y la alegada falta de diligencia en la investigación de las responsabilidades funcionales penales. </w:t>
      </w:r>
      <w:r w:rsidRPr="00F0074A">
        <w:rPr>
          <w:rFonts w:eastAsia="Batang"/>
          <w:lang w:eastAsia="en-US"/>
        </w:rPr>
        <w:t>A</w:t>
      </w:r>
      <w:r w:rsidR="00075A44" w:rsidRPr="00F0074A">
        <w:rPr>
          <w:rFonts w:eastAsia="Batang"/>
          <w:lang w:eastAsia="en-US"/>
        </w:rPr>
        <w:t xml:space="preserve">legó que las consideraciones relativas al proceso de daños y perjuicios fueron vertidas por la Comisión en el contexto del análisis sobre la excepción al agotamiento de los recursos internos, y no en el marco de la potencial caracterización de los hechos internacionalmente ilícitos alegados en la denuncia. En virtud de lo anterior, afirmó que la cuestión del proceso contencioso de daños y perjuicios y el respeto de las garantías judiciales y la protección judicial en relación al mismo, no formó parte del contencioso. </w:t>
      </w:r>
    </w:p>
    <w:p w14:paraId="6F191270" w14:textId="77777777" w:rsidR="00075A44" w:rsidRPr="00F0074A" w:rsidRDefault="00075A44" w:rsidP="00E06F63">
      <w:pPr>
        <w:tabs>
          <w:tab w:val="left" w:pos="567"/>
          <w:tab w:val="num" w:pos="12305"/>
        </w:tabs>
        <w:spacing w:line="240" w:lineRule="auto"/>
        <w:rPr>
          <w:rFonts w:eastAsia="Batang"/>
          <w:lang w:eastAsia="en-US"/>
        </w:rPr>
      </w:pPr>
    </w:p>
    <w:p w14:paraId="2FE549C0" w14:textId="5405B20B" w:rsidR="00075A44" w:rsidRPr="00F0074A" w:rsidRDefault="00075A44" w:rsidP="00E06F63">
      <w:pPr>
        <w:numPr>
          <w:ilvl w:val="0"/>
          <w:numId w:val="11"/>
        </w:numPr>
        <w:tabs>
          <w:tab w:val="left" w:pos="567"/>
          <w:tab w:val="num" w:pos="1569"/>
          <w:tab w:val="num" w:pos="12305"/>
        </w:tabs>
        <w:spacing w:line="240" w:lineRule="auto"/>
        <w:ind w:left="0" w:firstLine="0"/>
        <w:rPr>
          <w:rFonts w:eastAsia="Batang"/>
          <w:b/>
          <w:lang w:eastAsia="en-US"/>
        </w:rPr>
      </w:pPr>
      <w:r w:rsidRPr="00F0074A">
        <w:rPr>
          <w:rFonts w:eastAsia="Batang"/>
          <w:lang w:eastAsia="en-US"/>
        </w:rPr>
        <w:t xml:space="preserve">La </w:t>
      </w:r>
      <w:r w:rsidRPr="00F0074A">
        <w:rPr>
          <w:rFonts w:eastAsia="Batang"/>
          <w:b/>
          <w:i/>
          <w:lang w:eastAsia="en-US"/>
        </w:rPr>
        <w:t>Comisión</w:t>
      </w:r>
      <w:r w:rsidRPr="00F0074A">
        <w:rPr>
          <w:rFonts w:eastAsia="Batang"/>
          <w:lang w:eastAsia="en-US"/>
        </w:rPr>
        <w:t xml:space="preserve"> consideró que esta excepción pretende cuestionar el pronunciamiento de fondo de la Comisión sobre la responsabilidad internacional del Estado por la violación a los artículos 8.1 y 25.1, por lo que </w:t>
      </w:r>
      <w:r w:rsidRPr="00F0074A">
        <w:t>estimó</w:t>
      </w:r>
      <w:r w:rsidRPr="00F0074A">
        <w:rPr>
          <w:rFonts w:eastAsia="Batang"/>
          <w:lang w:eastAsia="en-US"/>
        </w:rPr>
        <w:t xml:space="preserve"> que tal cuestionamiento no tiene carácter de excepción preliminar. En segundo lugar, recordó que ni la Convención Americana, ni el Reglamento de la Comisión, establecen que se deba delimitar el objeto del caso en el Informe de Admisibilidad. Asimismo, subrayó que la demora irrazonable del proceso contencioso administrativo s</w:t>
      </w:r>
      <w:r w:rsidR="00EA2460" w:rsidRPr="00F0074A">
        <w:rPr>
          <w:rFonts w:eastAsia="Batang"/>
          <w:lang w:eastAsia="en-US"/>
        </w:rPr>
        <w:t>í</w:t>
      </w:r>
      <w:r w:rsidRPr="00F0074A">
        <w:rPr>
          <w:rFonts w:eastAsia="Batang"/>
          <w:lang w:eastAsia="en-US"/>
        </w:rPr>
        <w:t xml:space="preserve"> formó parte de los hechos del caso en el trámite ante la </w:t>
      </w:r>
      <w:r w:rsidR="00C11540" w:rsidRPr="00F0074A">
        <w:rPr>
          <w:rFonts w:eastAsia="Batang"/>
          <w:lang w:eastAsia="en-US"/>
        </w:rPr>
        <w:t>Comisión</w:t>
      </w:r>
      <w:r w:rsidR="00903B4C" w:rsidRPr="00F0074A">
        <w:rPr>
          <w:rFonts w:eastAsia="Batang"/>
          <w:lang w:eastAsia="en-US"/>
        </w:rPr>
        <w:t>,</w:t>
      </w:r>
      <w:r w:rsidRPr="00F0074A">
        <w:rPr>
          <w:rFonts w:eastAsia="Batang"/>
          <w:lang w:eastAsia="en-US"/>
        </w:rPr>
        <w:t xml:space="preserve"> tanto en la etapa de admisibilidad como de fondo. </w:t>
      </w:r>
    </w:p>
    <w:p w14:paraId="0A4B165B" w14:textId="77777777" w:rsidR="00075A44" w:rsidRPr="00F0074A" w:rsidRDefault="00075A44" w:rsidP="00E06F63">
      <w:pPr>
        <w:pStyle w:val="Prrafodelista"/>
        <w:rPr>
          <w:rFonts w:eastAsia="Batang"/>
          <w:lang w:eastAsia="en-US"/>
        </w:rPr>
      </w:pPr>
    </w:p>
    <w:p w14:paraId="7DA55F19" w14:textId="798C29C2" w:rsidR="00075A44" w:rsidRPr="00F0074A" w:rsidRDefault="003C63AC" w:rsidP="00E06F63">
      <w:pPr>
        <w:numPr>
          <w:ilvl w:val="0"/>
          <w:numId w:val="11"/>
        </w:numPr>
        <w:tabs>
          <w:tab w:val="left" w:pos="567"/>
          <w:tab w:val="num" w:pos="1569"/>
          <w:tab w:val="num" w:pos="12305"/>
        </w:tabs>
        <w:spacing w:line="240" w:lineRule="auto"/>
        <w:ind w:left="0" w:firstLine="0"/>
        <w:rPr>
          <w:rFonts w:eastAsia="Batang"/>
          <w:lang w:eastAsia="en-US"/>
        </w:rPr>
      </w:pPr>
      <w:r w:rsidRPr="00F0074A">
        <w:rPr>
          <w:rFonts w:eastAsia="Batang"/>
          <w:lang w:eastAsia="en-US"/>
        </w:rPr>
        <w:t xml:space="preserve">Los </w:t>
      </w:r>
      <w:r w:rsidR="00416C9C" w:rsidRPr="00F0074A">
        <w:rPr>
          <w:rFonts w:eastAsia="Batang"/>
          <w:b/>
          <w:i/>
          <w:lang w:eastAsia="en-US"/>
        </w:rPr>
        <w:t>representantes</w:t>
      </w:r>
      <w:r w:rsidR="008C31F3" w:rsidRPr="00F0074A">
        <w:rPr>
          <w:rFonts w:eastAsia="Batang"/>
          <w:lang w:eastAsia="en-US"/>
        </w:rPr>
        <w:t xml:space="preserve"> </w:t>
      </w:r>
      <w:r w:rsidR="00075A44" w:rsidRPr="00F0074A">
        <w:rPr>
          <w:rFonts w:eastAsia="Batang"/>
          <w:lang w:eastAsia="en-US"/>
        </w:rPr>
        <w:t>señalaron que la Comisión</w:t>
      </w:r>
      <w:r w:rsidR="00EA2460" w:rsidRPr="00F0074A">
        <w:rPr>
          <w:rFonts w:eastAsia="Batang"/>
          <w:lang w:eastAsia="en-US"/>
        </w:rPr>
        <w:t>,</w:t>
      </w:r>
      <w:r w:rsidR="00075A44" w:rsidRPr="00F0074A">
        <w:rPr>
          <w:rFonts w:eastAsia="Batang"/>
          <w:lang w:eastAsia="en-US"/>
        </w:rPr>
        <w:t xml:space="preserve"> como garante de los derechos y garantías establecidas en el Convención, puede señalar vulneraciones que el peticionario no haya solicitado, a la luz de los hechos que ha conocido en un proceso internacional, razón por la cual no puede observarse el prejuicio que se alega respecto a la afectación al derecho de defensa. </w:t>
      </w:r>
    </w:p>
    <w:p w14:paraId="4C3E2B35" w14:textId="77777777" w:rsidR="00075A44" w:rsidRPr="00F0074A" w:rsidRDefault="00075A44" w:rsidP="00E06F63">
      <w:pPr>
        <w:pStyle w:val="Ttulo3"/>
        <w:rPr>
          <w:b/>
        </w:rPr>
      </w:pPr>
      <w:r w:rsidRPr="00F0074A">
        <w:tab/>
      </w:r>
      <w:bookmarkStart w:id="27" w:name="_Toc27405408"/>
      <w:r w:rsidRPr="00F0074A">
        <w:t>c.2 Consideraciones de la Corte</w:t>
      </w:r>
      <w:bookmarkEnd w:id="27"/>
    </w:p>
    <w:p w14:paraId="080C641A" w14:textId="48E9B0C6" w:rsidR="00075A44" w:rsidRPr="00F0074A" w:rsidRDefault="00A3534B" w:rsidP="00E06F63">
      <w:pPr>
        <w:numPr>
          <w:ilvl w:val="0"/>
          <w:numId w:val="11"/>
        </w:numPr>
        <w:tabs>
          <w:tab w:val="left" w:pos="567"/>
          <w:tab w:val="num" w:pos="1569"/>
          <w:tab w:val="num" w:pos="12305"/>
        </w:tabs>
        <w:spacing w:line="240" w:lineRule="auto"/>
        <w:ind w:left="0" w:firstLine="0"/>
      </w:pPr>
      <w:r w:rsidRPr="00F0074A">
        <w:rPr>
          <w:rFonts w:cs="Arial"/>
        </w:rPr>
        <w:t>En el presente caso</w:t>
      </w:r>
      <w:r w:rsidR="00E237FF" w:rsidRPr="00F0074A">
        <w:rPr>
          <w:rFonts w:cs="Arial"/>
        </w:rPr>
        <w:t>,</w:t>
      </w:r>
      <w:r w:rsidRPr="00F0074A">
        <w:rPr>
          <w:rFonts w:cs="Arial"/>
        </w:rPr>
        <w:t xml:space="preserve"> la Corte observa que las alegadas violaciones que derivan del proceso por daños y perjuicios interpuesto por el señor Jenkins sí formaron parte de los hechos del caso en el trámite ante la Comisión, tanto en la etapa de admisibilidad, como en </w:t>
      </w:r>
      <w:r w:rsidR="001813DE" w:rsidRPr="00F0074A">
        <w:rPr>
          <w:rFonts w:cs="Arial"/>
        </w:rPr>
        <w:t>la etapa de fondo</w:t>
      </w:r>
      <w:r w:rsidRPr="00F0074A">
        <w:rPr>
          <w:rFonts w:cs="Arial"/>
        </w:rPr>
        <w:t>. Efec</w:t>
      </w:r>
      <w:r w:rsidR="001813DE" w:rsidRPr="00F0074A">
        <w:rPr>
          <w:rFonts w:cs="Arial"/>
        </w:rPr>
        <w:t>tivamente, en su Informe de A</w:t>
      </w:r>
      <w:r w:rsidRPr="00F0074A">
        <w:rPr>
          <w:rFonts w:cs="Arial"/>
        </w:rPr>
        <w:t xml:space="preserve">dmisibilidad de 13 de octubre de 2004, la Comisión indicó que habían transcurrido más de </w:t>
      </w:r>
      <w:r w:rsidR="00CF46EB">
        <w:rPr>
          <w:rFonts w:cs="Arial"/>
        </w:rPr>
        <w:t>cuatro</w:t>
      </w:r>
      <w:r w:rsidRPr="00F0074A">
        <w:rPr>
          <w:rFonts w:cs="Arial"/>
        </w:rPr>
        <w:t xml:space="preserve"> años desde el inicio del proceso contencioso en reclamación de daños y perjuicios sin que se hubiera concluido la primera instancia, razón por la cual habría existido un retardo injustificado en la administración de justicia que permitía invocar la excepción prevista en el artículo 46.2.c</w:t>
      </w:r>
      <w:r w:rsidR="00CF46EB">
        <w:rPr>
          <w:rFonts w:cs="Arial"/>
        </w:rPr>
        <w:t>)</w:t>
      </w:r>
      <w:r w:rsidRPr="00F0074A">
        <w:rPr>
          <w:rFonts w:cs="Arial"/>
        </w:rPr>
        <w:t xml:space="preserve"> de la Convención</w:t>
      </w:r>
      <w:r w:rsidRPr="00F0074A">
        <w:rPr>
          <w:rStyle w:val="Refdenotaalpie"/>
          <w:rFonts w:cs="Arial"/>
        </w:rPr>
        <w:footnoteReference w:id="13"/>
      </w:r>
      <w:r w:rsidRPr="00F0074A">
        <w:rPr>
          <w:rFonts w:cs="Arial"/>
        </w:rPr>
        <w:t>. Asimismo, en su Informe de Fondo de 6 de diciembre de 2016 la Comisión hizo un análisis específico de la duraci</w:t>
      </w:r>
      <w:r w:rsidR="006B14CC" w:rsidRPr="00F0074A">
        <w:rPr>
          <w:rFonts w:cs="Arial"/>
        </w:rPr>
        <w:t>ón, complejidad, actuación de las autoridades estatales y del propio peticionario para llegar a la conclusión de que el proceso por daños y perjuicios interpuesto por el señor Jenkins no había cumplido con los estándares interamericanos del plazo razonable.</w:t>
      </w:r>
      <w:r w:rsidR="006B14CC" w:rsidRPr="00F0074A">
        <w:rPr>
          <w:rFonts w:cs="Arial"/>
          <w:b/>
        </w:rPr>
        <w:t xml:space="preserve"> </w:t>
      </w:r>
      <w:r w:rsidR="00165B47" w:rsidRPr="00F0074A">
        <w:rPr>
          <w:rFonts w:cs="Arial"/>
        </w:rPr>
        <w:t xml:space="preserve">A la vista de lo anterior, la Corte observa </w:t>
      </w:r>
      <w:r w:rsidR="00165B47" w:rsidRPr="00F0074A">
        <w:rPr>
          <w:rFonts w:cs="Verdana"/>
        </w:rPr>
        <w:t xml:space="preserve">que a lo largo de todo el procedimiento, tanto ante la Comisión como ante la Corte, el Estado ha tenido la oportunidad procesal para </w:t>
      </w:r>
      <w:r w:rsidR="00E237FF" w:rsidRPr="00F0074A">
        <w:rPr>
          <w:rFonts w:cs="Verdana"/>
        </w:rPr>
        <w:t>presentar su posición, refutar y cuestionar los alegado por la parte</w:t>
      </w:r>
      <w:r w:rsidR="00BE6554">
        <w:rPr>
          <w:rFonts w:cs="Verdana"/>
        </w:rPr>
        <w:t xml:space="preserve"> contraria</w:t>
      </w:r>
      <w:r w:rsidR="00E237FF" w:rsidRPr="00F0074A">
        <w:rPr>
          <w:rFonts w:cs="Verdana"/>
        </w:rPr>
        <w:t xml:space="preserve"> y la Comisión, así como</w:t>
      </w:r>
      <w:r w:rsidR="00165B47" w:rsidRPr="00F0074A">
        <w:rPr>
          <w:rFonts w:cs="Verdana"/>
        </w:rPr>
        <w:t xml:space="preserve"> desplegar toda la actividad probatoria que estime pertinente en </w:t>
      </w:r>
      <w:r w:rsidR="00165B47" w:rsidRPr="00F0074A">
        <w:rPr>
          <w:rFonts w:cs="Verdana"/>
        </w:rPr>
        <w:lastRenderedPageBreak/>
        <w:t>su defensa, respetando así el principio de equidad procesal</w:t>
      </w:r>
      <w:r w:rsidR="00E237FF" w:rsidRPr="00F0074A">
        <w:rPr>
          <w:rFonts w:cs="Verdana"/>
        </w:rPr>
        <w:t xml:space="preserve"> de las partes</w:t>
      </w:r>
      <w:r w:rsidR="00165B47" w:rsidRPr="00F0074A">
        <w:rPr>
          <w:rFonts w:cs="Verdana"/>
        </w:rPr>
        <w:t>.</w:t>
      </w:r>
      <w:r w:rsidR="00E237FF" w:rsidRPr="00F0074A">
        <w:rPr>
          <w:rFonts w:cs="Arial"/>
        </w:rPr>
        <w:t xml:space="preserve"> En consecuencia, la Corte desestima la excepción preliminar del Estado.</w:t>
      </w:r>
    </w:p>
    <w:p w14:paraId="5E68F6BC" w14:textId="1ABA1479" w:rsidR="00075A44" w:rsidRPr="00F0074A" w:rsidRDefault="0061213A" w:rsidP="00E06F63">
      <w:pPr>
        <w:pStyle w:val="Ttulo2"/>
      </w:pPr>
      <w:bookmarkStart w:id="28" w:name="_Toc27405409"/>
      <w:r w:rsidRPr="00F0074A">
        <w:t>D.</w:t>
      </w:r>
      <w:r w:rsidR="00075A44" w:rsidRPr="00F0074A">
        <w:tab/>
      </w:r>
      <w:r w:rsidR="00390E2D">
        <w:t xml:space="preserve"> </w:t>
      </w:r>
      <w:r w:rsidR="00075A44" w:rsidRPr="00F0074A">
        <w:t>Falta de competencia en razón de la materia</w:t>
      </w:r>
      <w:bookmarkEnd w:id="28"/>
      <w:r w:rsidR="00075A44" w:rsidRPr="00F0074A">
        <w:t xml:space="preserve"> </w:t>
      </w:r>
    </w:p>
    <w:p w14:paraId="7BCE7A76" w14:textId="77777777" w:rsidR="00075A44" w:rsidRPr="00F0074A" w:rsidRDefault="00075A44" w:rsidP="00E06F63">
      <w:pPr>
        <w:pStyle w:val="Ttulo3"/>
      </w:pPr>
      <w:r w:rsidRPr="00F0074A">
        <w:tab/>
      </w:r>
      <w:bookmarkStart w:id="29" w:name="_Toc27405410"/>
      <w:r w:rsidRPr="00F0074A">
        <w:t>d.1 Alegatos de las partes y de la Comisión</w:t>
      </w:r>
      <w:bookmarkEnd w:id="29"/>
    </w:p>
    <w:p w14:paraId="3B3CFDD9" w14:textId="7458AC4B" w:rsidR="00075A44" w:rsidRPr="00F0074A" w:rsidRDefault="001157D2" w:rsidP="00E06F63">
      <w:pPr>
        <w:numPr>
          <w:ilvl w:val="0"/>
          <w:numId w:val="11"/>
        </w:numPr>
        <w:tabs>
          <w:tab w:val="left" w:pos="567"/>
          <w:tab w:val="num" w:pos="1569"/>
          <w:tab w:val="num" w:pos="12305"/>
        </w:tabs>
        <w:spacing w:line="240" w:lineRule="auto"/>
        <w:ind w:left="0" w:firstLine="0"/>
        <w:rPr>
          <w:rFonts w:eastAsia="Batang"/>
          <w:lang w:eastAsia="en-US"/>
        </w:rPr>
      </w:pPr>
      <w:r w:rsidRPr="00F0074A">
        <w:rPr>
          <w:rFonts w:eastAsia="Batang"/>
          <w:lang w:eastAsia="en-US"/>
        </w:rPr>
        <w:t>Finalmente, e</w:t>
      </w:r>
      <w:r w:rsidR="00075A44" w:rsidRPr="00F0074A">
        <w:rPr>
          <w:rFonts w:eastAsia="Batang"/>
          <w:lang w:eastAsia="en-US"/>
        </w:rPr>
        <w:t xml:space="preserve">l </w:t>
      </w:r>
      <w:r w:rsidR="00075A44" w:rsidRPr="00F0074A">
        <w:rPr>
          <w:rFonts w:eastAsia="Batang"/>
          <w:b/>
          <w:i/>
          <w:lang w:eastAsia="en-US"/>
        </w:rPr>
        <w:t>Estado</w:t>
      </w:r>
      <w:r w:rsidR="00075A44" w:rsidRPr="00F0074A">
        <w:rPr>
          <w:rFonts w:eastAsia="Batang"/>
          <w:lang w:eastAsia="en-US"/>
        </w:rPr>
        <w:t xml:space="preserve"> resaltó que los representantes </w:t>
      </w:r>
      <w:r w:rsidR="00A905B0">
        <w:rPr>
          <w:rFonts w:eastAsia="Batang"/>
          <w:lang w:eastAsia="en-US"/>
        </w:rPr>
        <w:t xml:space="preserve">se </w:t>
      </w:r>
      <w:r w:rsidR="00075A44" w:rsidRPr="00F0074A">
        <w:rPr>
          <w:rFonts w:eastAsia="Batang"/>
          <w:lang w:eastAsia="en-US"/>
        </w:rPr>
        <w:t xml:space="preserve">refirieron a instrumentos como la Declaración Americana de los Derechos y Deberes del Hombre, la Declaración Universal de Derechos Humanos, el Pacto Internacional de Derechos Económicos, Sociales y Culturales, el Pacto Internacional de Derechos Civiles y Políticos, la Convención para la Prevención y Sanción del Delito de Genocidio, la Convención Internacional sobre la Eliminación de todas las Formas de Discriminación Racial, la Convención contra la Tortura y otros Tratos o Penas Crueles, Inhumanos o Degradantes, y el Protocolo constitutivo del Parlamento del Mercosur. Ante esto, el Estado sostuvo que a excepción de la Convención Americana, ninguno de los instrumentos cuya vulneración denuncian los representantes, ingresa en el catálogo de los instrumentos aplicables, así como también la Corte carece de competencia en razón de la materia para aplicar la Constitución Nacional argentina, toda vez que ello atañe a los tribunales de la Nación. </w:t>
      </w:r>
    </w:p>
    <w:p w14:paraId="2DE346C6" w14:textId="77777777" w:rsidR="00075A44" w:rsidRPr="00F0074A" w:rsidRDefault="00075A44" w:rsidP="00E06F63">
      <w:pPr>
        <w:tabs>
          <w:tab w:val="left" w:pos="567"/>
          <w:tab w:val="num" w:pos="12305"/>
        </w:tabs>
        <w:spacing w:line="240" w:lineRule="auto"/>
        <w:rPr>
          <w:rFonts w:eastAsia="Batang"/>
          <w:lang w:eastAsia="en-US"/>
        </w:rPr>
      </w:pPr>
    </w:p>
    <w:p w14:paraId="031EE4B6" w14:textId="5DFD22EE" w:rsidR="00075A44" w:rsidRPr="00F0074A" w:rsidRDefault="00075A44" w:rsidP="00E06F63">
      <w:pPr>
        <w:numPr>
          <w:ilvl w:val="0"/>
          <w:numId w:val="11"/>
        </w:numPr>
        <w:tabs>
          <w:tab w:val="left" w:pos="567"/>
          <w:tab w:val="num" w:pos="1569"/>
          <w:tab w:val="num" w:pos="12305"/>
        </w:tabs>
        <w:spacing w:line="240" w:lineRule="auto"/>
        <w:ind w:left="0" w:firstLine="0"/>
        <w:rPr>
          <w:rFonts w:eastAsia="Batang"/>
          <w:lang w:eastAsia="en-US"/>
        </w:rPr>
      </w:pPr>
      <w:r w:rsidRPr="00F0074A">
        <w:rPr>
          <w:rFonts w:eastAsia="Batang"/>
          <w:lang w:eastAsia="en-US"/>
        </w:rPr>
        <w:t xml:space="preserve">La </w:t>
      </w:r>
      <w:r w:rsidRPr="00F0074A">
        <w:rPr>
          <w:rFonts w:eastAsia="Batang"/>
          <w:b/>
          <w:i/>
          <w:lang w:eastAsia="en-US"/>
        </w:rPr>
        <w:t>Comisión</w:t>
      </w:r>
      <w:r w:rsidRPr="00F0074A">
        <w:rPr>
          <w:rFonts w:eastAsia="Batang"/>
          <w:lang w:eastAsia="en-US"/>
        </w:rPr>
        <w:t xml:space="preserve"> sostuvo que los representantes no solicitaron que la Corte aplique dichos instrumentos en el caso concreto ni que establezca la responsabilidad internacional del Estado por violación a los mismos, por lo que estimó que no corresponde acoger la excepción planteada por el Estado ya que no se trata de una pretensión de los representantes. </w:t>
      </w:r>
    </w:p>
    <w:p w14:paraId="5338D83B" w14:textId="77777777" w:rsidR="00075A44" w:rsidRPr="00F0074A" w:rsidRDefault="00075A44" w:rsidP="00E06F63">
      <w:pPr>
        <w:pStyle w:val="Prrafodelista"/>
        <w:rPr>
          <w:rFonts w:eastAsia="Batang"/>
          <w:lang w:eastAsia="en-US"/>
        </w:rPr>
      </w:pPr>
    </w:p>
    <w:p w14:paraId="46CC3F87" w14:textId="34F8B0FC" w:rsidR="00075A44" w:rsidRPr="005E4981" w:rsidRDefault="00075A44" w:rsidP="00E06F63">
      <w:pPr>
        <w:numPr>
          <w:ilvl w:val="0"/>
          <w:numId w:val="11"/>
        </w:numPr>
        <w:tabs>
          <w:tab w:val="left" w:pos="567"/>
          <w:tab w:val="num" w:pos="1569"/>
          <w:tab w:val="num" w:pos="12305"/>
        </w:tabs>
        <w:spacing w:line="240" w:lineRule="auto"/>
        <w:ind w:left="0" w:firstLine="0"/>
      </w:pPr>
      <w:r w:rsidRPr="005E4981">
        <w:rPr>
          <w:rFonts w:eastAsia="Batang"/>
          <w:lang w:eastAsia="en-US"/>
        </w:rPr>
        <w:t xml:space="preserve">Los </w:t>
      </w:r>
      <w:r w:rsidRPr="005E4981">
        <w:rPr>
          <w:rFonts w:eastAsia="Batang"/>
          <w:b/>
          <w:i/>
          <w:lang w:eastAsia="en-US"/>
        </w:rPr>
        <w:t>representantes</w:t>
      </w:r>
      <w:r w:rsidRPr="00493100">
        <w:rPr>
          <w:rFonts w:eastAsia="Batang"/>
          <w:lang w:eastAsia="en-US"/>
        </w:rPr>
        <w:t xml:space="preserve"> sostuvieron que el Estado Argentino se obligó en el ar</w:t>
      </w:r>
      <w:r w:rsidRPr="00193548">
        <w:rPr>
          <w:rFonts w:eastAsia="Batang"/>
          <w:lang w:eastAsia="en-US"/>
        </w:rPr>
        <w:t>tículo 2 de la Convención a adecuar la legislación interna a los términos establecidos en la misma.</w:t>
      </w:r>
      <w:r w:rsidRPr="005E4981">
        <w:rPr>
          <w:rFonts w:eastAsia="Batang"/>
          <w:lang w:eastAsia="en-US"/>
        </w:rPr>
        <w:t xml:space="preserve"> Por lo que, tanto la Corte como la Comisión, con el fin de fiscalizar el cumplimiento de este mandato internacional podrá analizar, interpretar, e incluso sugerir la modificación de la legislación interna. Asimismo, señalaron que la Corte tiene el poder inherente de determinar el alcance de su propia competencia, y que lo anterior no está supeditado a si se ha interpuesto o no una excepción preliminar al respecto. En virtud de lo anterior, concluyeron que no corresponde al Estado argentino señalar a la Cort</w:t>
      </w:r>
      <w:r w:rsidR="00997C54">
        <w:rPr>
          <w:rFonts w:eastAsia="Batang"/>
          <w:lang w:eastAsia="en-US"/>
        </w:rPr>
        <w:t>e cuál es su competencia en el sistema internacional de derechos h</w:t>
      </w:r>
      <w:r w:rsidRPr="005E4981">
        <w:rPr>
          <w:rFonts w:eastAsia="Batang"/>
          <w:lang w:eastAsia="en-US"/>
        </w:rPr>
        <w:t>umanos.</w:t>
      </w:r>
      <w:r w:rsidRPr="005E4981">
        <w:rPr>
          <w:rFonts w:eastAsia="Batang"/>
          <w:b/>
          <w:lang w:eastAsia="en-US"/>
        </w:rPr>
        <w:t xml:space="preserve"> </w:t>
      </w:r>
    </w:p>
    <w:p w14:paraId="24AE04B2" w14:textId="77777777" w:rsidR="00075A44" w:rsidRPr="00F0074A" w:rsidRDefault="00075A44" w:rsidP="00E06F63">
      <w:pPr>
        <w:pStyle w:val="Ttulo3"/>
      </w:pPr>
      <w:r w:rsidRPr="00F0074A">
        <w:tab/>
      </w:r>
      <w:bookmarkStart w:id="30" w:name="_Toc27405411"/>
      <w:r w:rsidRPr="00F0074A">
        <w:t>d.2 Consideraciones de la Corte</w:t>
      </w:r>
      <w:bookmarkEnd w:id="30"/>
    </w:p>
    <w:p w14:paraId="42F6F4A9" w14:textId="77777777" w:rsidR="001813DE" w:rsidRPr="00F0074A" w:rsidRDefault="00E237FF" w:rsidP="00E06F63">
      <w:pPr>
        <w:widowControl/>
        <w:numPr>
          <w:ilvl w:val="0"/>
          <w:numId w:val="11"/>
        </w:numPr>
        <w:tabs>
          <w:tab w:val="left" w:pos="567"/>
          <w:tab w:val="num" w:pos="1569"/>
          <w:tab w:val="num" w:pos="12305"/>
        </w:tabs>
        <w:autoSpaceDE w:val="0"/>
        <w:autoSpaceDN w:val="0"/>
        <w:spacing w:line="240" w:lineRule="auto"/>
        <w:ind w:left="0" w:firstLine="0"/>
        <w:textAlignment w:val="auto"/>
      </w:pPr>
      <w:r w:rsidRPr="00F0074A">
        <w:rPr>
          <w:rFonts w:eastAsia="Batang"/>
          <w:lang w:eastAsia="en-US"/>
        </w:rPr>
        <w:t>La Corte reitera que, como todo órgano con funciones jurisdiccionales, tiene el poder inherente a sus atribuciones de determinar el alcance de su propia competencia (</w:t>
      </w:r>
      <w:r w:rsidRPr="00F0074A">
        <w:rPr>
          <w:rFonts w:eastAsia="Batang"/>
          <w:i/>
          <w:lang w:eastAsia="en-US"/>
        </w:rPr>
        <w:t>compétence de la compétence/Kompetenz-Kompetenz</w:t>
      </w:r>
      <w:r w:rsidRPr="00F0074A">
        <w:rPr>
          <w:rFonts w:eastAsia="Batang"/>
          <w:lang w:eastAsia="en-US"/>
        </w:rPr>
        <w:t xml:space="preserve">). Los </w:t>
      </w:r>
      <w:r w:rsidRPr="00F0074A">
        <w:t>instrumentos</w:t>
      </w:r>
      <w:r w:rsidRPr="00F0074A">
        <w:rPr>
          <w:rFonts w:eastAsia="Batang"/>
          <w:lang w:eastAsia="en-US"/>
        </w:rPr>
        <w:t xml:space="preserve"> de reconocimiento de la cláusula facultativa de la jurisdicción obligatoria (artículo 62.1 de la Convención) presuponen la admisión, por los Estados que la presentan, del derecho de la Corte a resolver cualquier controversia relativa a su jurisdicción</w:t>
      </w:r>
      <w:r w:rsidRPr="00F0074A">
        <w:rPr>
          <w:rFonts w:eastAsia="Batang"/>
          <w:vertAlign w:val="superscript"/>
          <w:lang w:eastAsia="en-US"/>
        </w:rPr>
        <w:footnoteReference w:id="14"/>
      </w:r>
      <w:r w:rsidRPr="00F0074A">
        <w:rPr>
          <w:rFonts w:eastAsia="Batang"/>
          <w:lang w:eastAsia="en-US"/>
        </w:rPr>
        <w:t>.</w:t>
      </w:r>
      <w:r w:rsidR="00911CDD" w:rsidRPr="00F0074A">
        <w:rPr>
          <w:rFonts w:eastAsia="Batang"/>
          <w:lang w:eastAsia="en-US"/>
        </w:rPr>
        <w:t xml:space="preserve"> </w:t>
      </w:r>
    </w:p>
    <w:p w14:paraId="1714C2A0" w14:textId="77777777" w:rsidR="001813DE" w:rsidRPr="00F0074A" w:rsidRDefault="001813DE" w:rsidP="001813DE">
      <w:pPr>
        <w:widowControl/>
        <w:tabs>
          <w:tab w:val="left" w:pos="567"/>
        </w:tabs>
        <w:autoSpaceDE w:val="0"/>
        <w:autoSpaceDN w:val="0"/>
        <w:spacing w:line="240" w:lineRule="auto"/>
        <w:textAlignment w:val="auto"/>
      </w:pPr>
    </w:p>
    <w:p w14:paraId="127B35B1" w14:textId="7A9B7E5D" w:rsidR="00E57DAF" w:rsidRPr="00F0074A" w:rsidRDefault="008F60BE" w:rsidP="00A736B6">
      <w:pPr>
        <w:widowControl/>
        <w:numPr>
          <w:ilvl w:val="0"/>
          <w:numId w:val="11"/>
        </w:numPr>
        <w:tabs>
          <w:tab w:val="left" w:pos="567"/>
          <w:tab w:val="num" w:pos="1569"/>
          <w:tab w:val="num" w:pos="12305"/>
        </w:tabs>
        <w:autoSpaceDE w:val="0"/>
        <w:autoSpaceDN w:val="0"/>
        <w:spacing w:line="240" w:lineRule="auto"/>
        <w:ind w:left="0" w:firstLine="0"/>
        <w:textAlignment w:val="auto"/>
      </w:pPr>
      <w:r w:rsidRPr="00F0074A">
        <w:t>Sin perjuicio de lo anterior, la Corte observa que</w:t>
      </w:r>
      <w:r w:rsidR="00381A2C" w:rsidRPr="00F0074A">
        <w:t>,</w:t>
      </w:r>
      <w:r w:rsidRPr="00F0074A">
        <w:t xml:space="preserve"> en el presente caso, </w:t>
      </w:r>
      <w:r w:rsidR="00381A2C" w:rsidRPr="00F0074A">
        <w:t xml:space="preserve">los </w:t>
      </w:r>
      <w:r w:rsidR="00911CDD" w:rsidRPr="00F0074A">
        <w:t>representantes</w:t>
      </w:r>
      <w:r w:rsidR="00381A2C" w:rsidRPr="00F0074A">
        <w:t xml:space="preserve"> solicitaron en su </w:t>
      </w:r>
      <w:r w:rsidR="00537440" w:rsidRPr="00F0074A">
        <w:t xml:space="preserve">escrito de solicitudes, argumentos y pruebas </w:t>
      </w:r>
      <w:r w:rsidR="00381A2C" w:rsidRPr="00F0074A">
        <w:t xml:space="preserve">que la Corte </w:t>
      </w:r>
      <w:r w:rsidR="00911CDD" w:rsidRPr="00F0074A">
        <w:t>declare que “</w:t>
      </w:r>
      <w:r w:rsidR="00381A2C" w:rsidRPr="00F0074A">
        <w:t xml:space="preserve">el Ilustrado Estado de Argentina es responsable por la violación de los derechos a la libertad personal y a las garantías judiciales, a la igualdad ante la ley y a la protección judicial consagrados en los artículos </w:t>
      </w:r>
      <w:r w:rsidR="00381A2C" w:rsidRPr="00F0074A">
        <w:lastRenderedPageBreak/>
        <w:t>7.1, 7.3, 7.5, 7.6, 8.1, 8.2, 24 y 25.1 de la Convención Americana, en relación con los artículos 1.1 y 2 del mismo instrume</w:t>
      </w:r>
      <w:r w:rsidR="00911CDD" w:rsidRPr="00F0074A">
        <w:t>nto, en perjuicio de Gabriel Osc</w:t>
      </w:r>
      <w:r w:rsidR="00381A2C" w:rsidRPr="00F0074A">
        <w:t>ar Jenkins</w:t>
      </w:r>
      <w:r w:rsidR="00911CDD" w:rsidRPr="00F0074A">
        <w:t xml:space="preserve">”. Lo anterior fue reiterado en el petitorio del referido </w:t>
      </w:r>
      <w:r w:rsidR="008D35E1" w:rsidRPr="00F0074A">
        <w:t>escrito</w:t>
      </w:r>
      <w:r w:rsidR="00E57DAF" w:rsidRPr="00F0074A">
        <w:rPr>
          <w:rFonts w:eastAsiaTheme="minorHAnsi" w:cs="Arial"/>
          <w:lang w:eastAsia="en-US"/>
        </w:rPr>
        <w:t>.</w:t>
      </w:r>
      <w:r w:rsidR="004C6365" w:rsidRPr="00F0074A">
        <w:rPr>
          <w:rFonts w:eastAsiaTheme="minorHAnsi" w:cs="Arial"/>
          <w:lang w:eastAsia="en-US"/>
        </w:rPr>
        <w:t xml:space="preserve"> </w:t>
      </w:r>
      <w:r w:rsidR="00A736B6" w:rsidRPr="00100F11">
        <w:rPr>
          <w:rFonts w:cs="Arial"/>
        </w:rPr>
        <w:t>Por tanto,</w:t>
      </w:r>
      <w:r w:rsidR="00A736B6" w:rsidRPr="00A736B6">
        <w:rPr>
          <w:rFonts w:cs="Arial"/>
        </w:rPr>
        <w:t xml:space="preserve"> </w:t>
      </w:r>
      <w:r w:rsidR="00493100" w:rsidRPr="00A736B6">
        <w:rPr>
          <w:rFonts w:cs="Arial"/>
        </w:rPr>
        <w:t xml:space="preserve">y toda vez que la petición de los representantes se centra en la declaración de la vulneración por parte del Estado de determinados preceptos de la Convención Americana, </w:t>
      </w:r>
      <w:r w:rsidR="00E57DAF" w:rsidRPr="00A736B6">
        <w:rPr>
          <w:rFonts w:cs="Arial"/>
        </w:rPr>
        <w:t xml:space="preserve">la Corte desestima </w:t>
      </w:r>
      <w:r w:rsidR="00F53377" w:rsidRPr="00A736B6">
        <w:rPr>
          <w:rFonts w:cs="Arial"/>
        </w:rPr>
        <w:t>esta</w:t>
      </w:r>
      <w:r w:rsidR="00E57DAF" w:rsidRPr="00A736B6">
        <w:rPr>
          <w:rFonts w:cs="Arial"/>
        </w:rPr>
        <w:t xml:space="preserve"> excepción preliminar.</w:t>
      </w:r>
    </w:p>
    <w:p w14:paraId="4E5F1A3B" w14:textId="2B2E15E1" w:rsidR="00562B60" w:rsidRPr="00F0074A" w:rsidRDefault="00562B60" w:rsidP="0010568E">
      <w:pPr>
        <w:pStyle w:val="Ttulo1"/>
      </w:pPr>
      <w:bookmarkStart w:id="31" w:name="_Toc19288089"/>
      <w:bookmarkStart w:id="32" w:name="_Toc27405412"/>
      <w:bookmarkStart w:id="33" w:name="_Toc375517114"/>
      <w:bookmarkStart w:id="34" w:name="_Toc459158102"/>
      <w:bookmarkStart w:id="35" w:name="_Toc470180046"/>
      <w:bookmarkStart w:id="36" w:name="_Toc514172609"/>
      <w:bookmarkEnd w:id="3"/>
      <w:bookmarkEnd w:id="4"/>
      <w:bookmarkEnd w:id="5"/>
      <w:bookmarkEnd w:id="6"/>
      <w:bookmarkEnd w:id="7"/>
      <w:bookmarkEnd w:id="8"/>
      <w:bookmarkEnd w:id="9"/>
      <w:bookmarkEnd w:id="10"/>
      <w:bookmarkEnd w:id="11"/>
      <w:r w:rsidRPr="00F0074A">
        <w:t>V</w:t>
      </w:r>
      <w:r w:rsidRPr="00F0074A">
        <w:br/>
      </w:r>
      <w:r w:rsidR="00023CB0">
        <w:t>CONSIDERACI</w:t>
      </w:r>
      <w:r w:rsidR="00983DDA">
        <w:t>ÓN</w:t>
      </w:r>
      <w:r w:rsidRPr="00F0074A">
        <w:t xml:space="preserve"> PREVIA</w:t>
      </w:r>
      <w:bookmarkEnd w:id="31"/>
      <w:bookmarkEnd w:id="32"/>
    </w:p>
    <w:p w14:paraId="522CC2CB" w14:textId="3A4BB29E" w:rsidR="00891A4D" w:rsidRPr="00F0074A" w:rsidRDefault="003C63AC" w:rsidP="00E06F63">
      <w:pPr>
        <w:numPr>
          <w:ilvl w:val="0"/>
          <w:numId w:val="11"/>
        </w:numPr>
        <w:tabs>
          <w:tab w:val="left" w:pos="567"/>
          <w:tab w:val="num" w:pos="1569"/>
          <w:tab w:val="num" w:pos="12305"/>
        </w:tabs>
        <w:spacing w:line="240" w:lineRule="auto"/>
        <w:ind w:left="0" w:firstLine="0"/>
        <w:rPr>
          <w:rFonts w:eastAsia="SimSun" w:cs="Verdana"/>
          <w:lang w:val="es-MX"/>
        </w:rPr>
      </w:pPr>
      <w:r w:rsidRPr="00F0074A">
        <w:t xml:space="preserve">Los </w:t>
      </w:r>
      <w:r w:rsidR="00416C9C" w:rsidRPr="00F53377">
        <w:rPr>
          <w:rFonts w:eastAsia="Batang"/>
          <w:b/>
          <w:i/>
          <w:lang w:eastAsia="en-US"/>
        </w:rPr>
        <w:t>representantes</w:t>
      </w:r>
      <w:r w:rsidR="008C31F3" w:rsidRPr="00F0074A">
        <w:t xml:space="preserve"> </w:t>
      </w:r>
      <w:r w:rsidR="00D45579" w:rsidRPr="00F0074A">
        <w:t xml:space="preserve">indicaron en el escrito de solicitudes y argumentos que </w:t>
      </w:r>
      <w:r w:rsidR="00027FB2" w:rsidRPr="00F0074A">
        <w:t xml:space="preserve">debía considerarse como “parte lesionada” al señor Jenkins y a su grupo familiar, esto es, su cónyuge María Leticia Pironelli y su hijo Kevin Gabriel Jenkins. </w:t>
      </w:r>
    </w:p>
    <w:p w14:paraId="1A39D8FD" w14:textId="77777777" w:rsidR="00891A4D" w:rsidRPr="00F0074A" w:rsidRDefault="00891A4D" w:rsidP="00E06F63">
      <w:pPr>
        <w:pStyle w:val="Normal1"/>
        <w:widowControl/>
        <w:tabs>
          <w:tab w:val="left" w:pos="567"/>
        </w:tabs>
        <w:contextualSpacing/>
        <w:jc w:val="both"/>
        <w:rPr>
          <w:rFonts w:ascii="Verdana" w:eastAsia="SimSun" w:hAnsi="Verdana" w:cs="Verdana"/>
          <w:sz w:val="20"/>
          <w:szCs w:val="20"/>
          <w:lang w:val="es-MX"/>
        </w:rPr>
      </w:pPr>
    </w:p>
    <w:p w14:paraId="38462353" w14:textId="570A5C2E" w:rsidR="00D45579" w:rsidRPr="00F0074A" w:rsidRDefault="00891A4D" w:rsidP="00E06F63">
      <w:pPr>
        <w:numPr>
          <w:ilvl w:val="0"/>
          <w:numId w:val="11"/>
        </w:numPr>
        <w:tabs>
          <w:tab w:val="left" w:pos="567"/>
          <w:tab w:val="num" w:pos="1569"/>
          <w:tab w:val="num" w:pos="12305"/>
        </w:tabs>
        <w:spacing w:line="240" w:lineRule="auto"/>
        <w:ind w:left="0" w:firstLine="0"/>
        <w:rPr>
          <w:rFonts w:eastAsia="SimSun" w:cs="Verdana"/>
          <w:lang w:val="es-MX"/>
        </w:rPr>
      </w:pPr>
      <w:r w:rsidRPr="00F0074A">
        <w:t xml:space="preserve">El </w:t>
      </w:r>
      <w:r w:rsidRPr="00F0074A">
        <w:rPr>
          <w:b/>
          <w:i/>
        </w:rPr>
        <w:t>Estado</w:t>
      </w:r>
      <w:r w:rsidR="00027FB2" w:rsidRPr="00F0074A">
        <w:t xml:space="preserve"> se </w:t>
      </w:r>
      <w:r w:rsidR="00027FB2" w:rsidRPr="00F0074A">
        <w:rPr>
          <w:rFonts w:eastAsia="Batang"/>
          <w:lang w:eastAsia="en-US"/>
        </w:rPr>
        <w:t>opuso</w:t>
      </w:r>
      <w:r w:rsidR="00027FB2" w:rsidRPr="00F0074A">
        <w:t xml:space="preserve"> a la inclusión como parte lesionada de los referidos familiares por cuanto en el Informe de Fondo elaborado por la Comisión sólo se establecía como víctima directa al señor Jenkins. </w:t>
      </w:r>
    </w:p>
    <w:p w14:paraId="75C5F094" w14:textId="77777777" w:rsidR="00891A4D" w:rsidRPr="00F0074A" w:rsidRDefault="00891A4D" w:rsidP="00E06F63">
      <w:pPr>
        <w:pStyle w:val="Normal1"/>
        <w:widowControl/>
        <w:tabs>
          <w:tab w:val="left" w:pos="567"/>
        </w:tabs>
        <w:contextualSpacing/>
        <w:jc w:val="both"/>
        <w:rPr>
          <w:rFonts w:ascii="Verdana" w:eastAsia="SimSun" w:hAnsi="Verdana" w:cs="Verdana"/>
          <w:sz w:val="20"/>
          <w:szCs w:val="20"/>
          <w:lang w:val="es-MX"/>
        </w:rPr>
      </w:pPr>
    </w:p>
    <w:p w14:paraId="45AB5E45" w14:textId="77777777" w:rsidR="00D45579" w:rsidRPr="00F0074A" w:rsidRDefault="00891A4D" w:rsidP="00E06F63">
      <w:pPr>
        <w:numPr>
          <w:ilvl w:val="0"/>
          <w:numId w:val="11"/>
        </w:numPr>
        <w:tabs>
          <w:tab w:val="left" w:pos="567"/>
          <w:tab w:val="num" w:pos="1569"/>
          <w:tab w:val="num" w:pos="12305"/>
        </w:tabs>
        <w:spacing w:line="240" w:lineRule="auto"/>
        <w:ind w:left="0" w:firstLine="0"/>
        <w:rPr>
          <w:rFonts w:eastAsia="SimSun" w:cs="Verdana"/>
          <w:lang w:val="es-MX"/>
        </w:rPr>
      </w:pPr>
      <w:r w:rsidRPr="00F0074A">
        <w:rPr>
          <w:rFonts w:eastAsia="SimSun" w:cs="Verdana"/>
          <w:lang w:val="es-MX"/>
        </w:rPr>
        <w:t>L</w:t>
      </w:r>
      <w:r w:rsidR="00D45579" w:rsidRPr="00F0074A">
        <w:rPr>
          <w:rFonts w:eastAsia="SimSun" w:cs="Verdana"/>
          <w:lang w:val="es-MX"/>
        </w:rPr>
        <w:t xml:space="preserve">a </w:t>
      </w:r>
      <w:r w:rsidR="00D45579" w:rsidRPr="00F0074A">
        <w:rPr>
          <w:rFonts w:eastAsia="SimSun" w:cs="Verdana"/>
          <w:b/>
          <w:i/>
          <w:lang w:val="es-MX"/>
        </w:rPr>
        <w:t>Comisión</w:t>
      </w:r>
      <w:r w:rsidR="00D45579" w:rsidRPr="00F0074A">
        <w:rPr>
          <w:rFonts w:eastAsia="SimSun" w:cs="Verdana"/>
          <w:lang w:val="es-MX"/>
        </w:rPr>
        <w:t xml:space="preserve"> </w:t>
      </w:r>
      <w:r w:rsidRPr="00F0074A">
        <w:rPr>
          <w:rFonts w:eastAsia="SimSun" w:cs="Verdana"/>
          <w:lang w:val="es-MX"/>
        </w:rPr>
        <w:t>no presentó</w:t>
      </w:r>
      <w:r w:rsidR="00D45579" w:rsidRPr="00F0074A">
        <w:rPr>
          <w:rFonts w:eastAsia="SimSun" w:cs="Verdana"/>
          <w:lang w:val="es-MX"/>
        </w:rPr>
        <w:t xml:space="preserve"> observaciones a este respecto. </w:t>
      </w:r>
    </w:p>
    <w:p w14:paraId="5A4C4452" w14:textId="77777777" w:rsidR="001D557D" w:rsidRPr="00F0074A" w:rsidRDefault="001D557D" w:rsidP="00E06F63">
      <w:pPr>
        <w:pStyle w:val="Normal1"/>
        <w:widowControl/>
        <w:contextualSpacing/>
        <w:jc w:val="both"/>
        <w:rPr>
          <w:rFonts w:ascii="Verdana" w:eastAsia="SimSun" w:hAnsi="Verdana" w:cs="Verdana"/>
          <w:sz w:val="20"/>
          <w:szCs w:val="20"/>
          <w:lang w:val="es-MX"/>
        </w:rPr>
      </w:pPr>
    </w:p>
    <w:p w14:paraId="3AE5F407" w14:textId="2C524357" w:rsidR="00D45579" w:rsidRPr="00F0074A" w:rsidRDefault="00D45579" w:rsidP="00E06F63">
      <w:pPr>
        <w:numPr>
          <w:ilvl w:val="0"/>
          <w:numId w:val="11"/>
        </w:numPr>
        <w:tabs>
          <w:tab w:val="left" w:pos="567"/>
          <w:tab w:val="num" w:pos="1569"/>
          <w:tab w:val="num" w:pos="12305"/>
        </w:tabs>
        <w:spacing w:line="240" w:lineRule="auto"/>
        <w:ind w:left="0" w:firstLine="0"/>
        <w:rPr>
          <w:rFonts w:eastAsia="Batang"/>
        </w:rPr>
      </w:pPr>
      <w:r w:rsidRPr="00F0074A">
        <w:rPr>
          <w:rFonts w:eastAsia="Batang"/>
        </w:rPr>
        <w:t xml:space="preserve">Con relación a la </w:t>
      </w:r>
      <w:r w:rsidRPr="00F0074A">
        <w:t>identificación</w:t>
      </w:r>
      <w:r w:rsidRPr="00F0074A">
        <w:rPr>
          <w:rFonts w:eastAsia="Batang"/>
        </w:rPr>
        <w:t xml:space="preserve"> de presuntas víctimas, la </w:t>
      </w:r>
      <w:r w:rsidRPr="00F0074A">
        <w:rPr>
          <w:rFonts w:eastAsia="Batang"/>
          <w:b/>
          <w:i/>
        </w:rPr>
        <w:t>Corte</w:t>
      </w:r>
      <w:r w:rsidRPr="00F0074A">
        <w:rPr>
          <w:rFonts w:eastAsia="Batang"/>
        </w:rPr>
        <w:t xml:space="preserve"> recuerda que el artículo 35.1 </w:t>
      </w:r>
      <w:r w:rsidR="00997C54">
        <w:rPr>
          <w:rFonts w:eastAsia="Batang"/>
        </w:rPr>
        <w:t xml:space="preserve">de su </w:t>
      </w:r>
      <w:r w:rsidRPr="00F0074A">
        <w:rPr>
          <w:rFonts w:eastAsia="Batang"/>
        </w:rPr>
        <w:t>Reglamento dispone que el caso le será sometido mediante la presentación del Informe de Fondo, que deberá contener la identificación de las presuntas víctimas. Corresponde pues a la Comisión identificar con precisión</w:t>
      </w:r>
      <w:r w:rsidRPr="00F0074A">
        <w:t xml:space="preserve"> y en la debida oportunidad procesal a las presuntas víctimas en un caso ante la Corte</w:t>
      </w:r>
      <w:r w:rsidRPr="00F0074A">
        <w:rPr>
          <w:vertAlign w:val="superscript"/>
        </w:rPr>
        <w:footnoteReference w:id="15"/>
      </w:r>
      <w:r w:rsidRPr="00F0074A">
        <w:t>, salvo en las</w:t>
      </w:r>
      <w:r w:rsidRPr="00F0074A">
        <w:rPr>
          <w:rFonts w:eastAsia="Batang"/>
        </w:rPr>
        <w:t xml:space="preserve"> circunstancias excepcionales contempladas en el artículo 35.2 del Reglamento de la Corte</w:t>
      </w:r>
      <w:r w:rsidRPr="00F0074A">
        <w:rPr>
          <w:rFonts w:eastAsia="Batang"/>
          <w:vertAlign w:val="superscript"/>
        </w:rPr>
        <w:footnoteReference w:id="16"/>
      </w:r>
      <w:r w:rsidRPr="00F0074A">
        <w:rPr>
          <w:rFonts w:eastAsia="Batang"/>
        </w:rPr>
        <w:t>.</w:t>
      </w:r>
    </w:p>
    <w:p w14:paraId="22CF7C26" w14:textId="77777777" w:rsidR="00D45579" w:rsidRPr="00F0074A" w:rsidRDefault="00D45579" w:rsidP="00E06F63">
      <w:pPr>
        <w:tabs>
          <w:tab w:val="left" w:pos="567"/>
        </w:tabs>
        <w:spacing w:line="240" w:lineRule="auto"/>
        <w:rPr>
          <w:rFonts w:eastAsia="Batang"/>
          <w:lang w:eastAsia="en-US"/>
        </w:rPr>
      </w:pPr>
    </w:p>
    <w:p w14:paraId="0CDA7BD9" w14:textId="17454D95" w:rsidR="00D45579" w:rsidRPr="00F0074A" w:rsidRDefault="00F53377" w:rsidP="00E06F63">
      <w:pPr>
        <w:numPr>
          <w:ilvl w:val="0"/>
          <w:numId w:val="11"/>
        </w:numPr>
        <w:tabs>
          <w:tab w:val="left" w:pos="567"/>
          <w:tab w:val="num" w:pos="1569"/>
          <w:tab w:val="num" w:pos="12305"/>
        </w:tabs>
        <w:spacing w:line="240" w:lineRule="auto"/>
        <w:ind w:left="0" w:firstLine="0"/>
      </w:pPr>
      <w:r>
        <w:rPr>
          <w:rFonts w:eastAsia="Verdana" w:cs="Verdana"/>
        </w:rPr>
        <w:t>E</w:t>
      </w:r>
      <w:r w:rsidR="00D45579" w:rsidRPr="00F0074A">
        <w:rPr>
          <w:rFonts w:eastAsia="Verdana" w:cs="Verdana"/>
        </w:rPr>
        <w:t xml:space="preserve">n razón de las normas dispuestas en el artículo 35.1 del </w:t>
      </w:r>
      <w:r w:rsidR="00D45579" w:rsidRPr="00F0074A">
        <w:rPr>
          <w:rFonts w:eastAsia="Batang"/>
          <w:lang w:eastAsia="en-US"/>
        </w:rPr>
        <w:t>Reglamento</w:t>
      </w:r>
      <w:r w:rsidR="00D45579" w:rsidRPr="00F0074A">
        <w:rPr>
          <w:rFonts w:eastAsia="Verdana" w:cs="Verdana"/>
        </w:rPr>
        <w:t xml:space="preserve"> y los precedentes sobre los que este Tribunal se ha </w:t>
      </w:r>
      <w:r w:rsidR="00D45579" w:rsidRPr="00F0074A">
        <w:rPr>
          <w:rFonts w:eastAsia="Batang"/>
        </w:rPr>
        <w:t>pronunciado</w:t>
      </w:r>
      <w:r w:rsidR="00D45579" w:rsidRPr="00F0074A">
        <w:rPr>
          <w:rFonts w:eastAsia="Verdana" w:cs="Verdana"/>
        </w:rPr>
        <w:t xml:space="preserve"> al respecto</w:t>
      </w:r>
      <w:r w:rsidR="00D45579" w:rsidRPr="00F0074A">
        <w:rPr>
          <w:rStyle w:val="Refdenotaalpie"/>
          <w:rFonts w:eastAsia="Verdana"/>
        </w:rPr>
        <w:footnoteReference w:id="17"/>
      </w:r>
      <w:r w:rsidR="00D45579" w:rsidRPr="00F0074A">
        <w:rPr>
          <w:rFonts w:eastAsia="Verdana" w:cs="Verdana"/>
        </w:rPr>
        <w:t xml:space="preserve">, la Corte concluye que </w:t>
      </w:r>
      <w:r w:rsidR="00D45579" w:rsidRPr="00F0074A">
        <w:t>solo</w:t>
      </w:r>
      <w:r w:rsidR="00D45579" w:rsidRPr="00F0074A">
        <w:rPr>
          <w:rFonts w:eastAsia="Verdana" w:cs="Verdana"/>
        </w:rPr>
        <w:t xml:space="preserve"> se considerará </w:t>
      </w:r>
      <w:r w:rsidR="00891A4D" w:rsidRPr="00F0074A">
        <w:rPr>
          <w:rFonts w:eastAsia="Verdana" w:cs="Verdana"/>
        </w:rPr>
        <w:t>al señor Jenkins como presunta</w:t>
      </w:r>
      <w:r w:rsidR="00D45579" w:rsidRPr="00F0074A">
        <w:rPr>
          <w:rFonts w:eastAsia="Verdana" w:cs="Verdana"/>
        </w:rPr>
        <w:t xml:space="preserve"> víctima en</w:t>
      </w:r>
      <w:r w:rsidR="00446328" w:rsidRPr="00F0074A">
        <w:rPr>
          <w:rFonts w:eastAsia="Verdana" w:cs="Verdana"/>
        </w:rPr>
        <w:t xml:space="preserve"> el presente caso, no correspondiendo admitir a los restantes familiares como presuntas víctimas.</w:t>
      </w:r>
    </w:p>
    <w:p w14:paraId="34CDF698" w14:textId="77777777" w:rsidR="00467516" w:rsidRPr="00F0074A" w:rsidRDefault="00467516" w:rsidP="0010568E">
      <w:pPr>
        <w:pStyle w:val="Ttulo1"/>
      </w:pPr>
      <w:bookmarkStart w:id="37" w:name="_Toc27405413"/>
      <w:r w:rsidRPr="00F0074A">
        <w:t>V</w:t>
      </w:r>
      <w:r w:rsidR="00241F90" w:rsidRPr="00F0074A">
        <w:t>I</w:t>
      </w:r>
      <w:r w:rsidRPr="00F0074A">
        <w:br/>
        <w:t>PRUEBA</w:t>
      </w:r>
      <w:bookmarkEnd w:id="33"/>
      <w:bookmarkEnd w:id="34"/>
      <w:bookmarkEnd w:id="35"/>
      <w:bookmarkEnd w:id="36"/>
      <w:bookmarkEnd w:id="37"/>
    </w:p>
    <w:p w14:paraId="5C79F8FD" w14:textId="41D8E618" w:rsidR="00467516" w:rsidRPr="00F0074A" w:rsidRDefault="00467516" w:rsidP="00E06F63">
      <w:pPr>
        <w:pStyle w:val="Ttulo2"/>
      </w:pPr>
      <w:bookmarkStart w:id="38" w:name="_Toc375517115"/>
      <w:bookmarkStart w:id="39" w:name="_Toc459158103"/>
      <w:bookmarkStart w:id="40" w:name="_Toc470180047"/>
      <w:bookmarkStart w:id="41" w:name="_Toc514172610"/>
      <w:bookmarkStart w:id="42" w:name="_Toc27405414"/>
      <w:r w:rsidRPr="00F0074A">
        <w:t>A.</w:t>
      </w:r>
      <w:r w:rsidRPr="00F0074A">
        <w:tab/>
      </w:r>
      <w:bookmarkStart w:id="43" w:name="_Toc375517116"/>
      <w:bookmarkStart w:id="44" w:name="_Toc459158104"/>
      <w:bookmarkStart w:id="45" w:name="_Toc470180048"/>
      <w:bookmarkStart w:id="46" w:name="_Toc514172611"/>
      <w:bookmarkEnd w:id="38"/>
      <w:bookmarkEnd w:id="39"/>
      <w:bookmarkEnd w:id="40"/>
      <w:bookmarkEnd w:id="41"/>
      <w:r w:rsidR="00390E2D">
        <w:t xml:space="preserve"> </w:t>
      </w:r>
      <w:r w:rsidRPr="00F0074A">
        <w:t>Admisibilidad de la prueba</w:t>
      </w:r>
      <w:bookmarkEnd w:id="43"/>
      <w:bookmarkEnd w:id="44"/>
      <w:bookmarkEnd w:id="45"/>
      <w:bookmarkEnd w:id="46"/>
      <w:r w:rsidRPr="00F0074A">
        <w:t xml:space="preserve"> documental</w:t>
      </w:r>
      <w:bookmarkEnd w:id="42"/>
    </w:p>
    <w:p w14:paraId="4E51DE99" w14:textId="1E0112F2" w:rsidR="001430FB" w:rsidRPr="00F0074A" w:rsidRDefault="001430FB" w:rsidP="00E06F63">
      <w:pPr>
        <w:numPr>
          <w:ilvl w:val="0"/>
          <w:numId w:val="11"/>
        </w:numPr>
        <w:tabs>
          <w:tab w:val="left" w:pos="567"/>
          <w:tab w:val="num" w:pos="1569"/>
          <w:tab w:val="num" w:pos="12305"/>
        </w:tabs>
        <w:spacing w:line="240" w:lineRule="auto"/>
        <w:ind w:left="0" w:firstLine="0"/>
        <w:rPr>
          <w:rFonts w:eastAsia="Calibri"/>
        </w:rPr>
      </w:pPr>
      <w:r w:rsidRPr="00F0074A">
        <w:rPr>
          <w:rFonts w:eastAsia="Calibri"/>
        </w:rPr>
        <w:t xml:space="preserve">El Tribunal recibió diversos documentos presentados como prueba por la Comisión, </w:t>
      </w:r>
      <w:r w:rsidR="003C63AC" w:rsidRPr="00F0074A">
        <w:rPr>
          <w:rFonts w:eastAsia="Calibri"/>
        </w:rPr>
        <w:t xml:space="preserve">los </w:t>
      </w:r>
      <w:r w:rsidR="00416C9C" w:rsidRPr="00F0074A">
        <w:rPr>
          <w:rFonts w:eastAsia="Calibri"/>
        </w:rPr>
        <w:t>representantes</w:t>
      </w:r>
      <w:r w:rsidR="00316E86" w:rsidRPr="00F0074A">
        <w:rPr>
          <w:rFonts w:eastAsia="Calibri"/>
        </w:rPr>
        <w:t xml:space="preserve"> y el Estado. En relación con los documentos aportados en el marco del procedimiento, la Corte los admite, tal y como ha hecho en otros casos,</w:t>
      </w:r>
      <w:r w:rsidR="001A3D54">
        <w:rPr>
          <w:rFonts w:eastAsia="Calibri"/>
        </w:rPr>
        <w:t xml:space="preserve"> </w:t>
      </w:r>
      <w:r w:rsidRPr="00F0074A">
        <w:rPr>
          <w:rFonts w:eastAsia="Calibri"/>
        </w:rPr>
        <w:t>en el entendido que fueron presentados en la debida oportunidad procesal (artículo 57 del Reglamento)</w:t>
      </w:r>
      <w:r w:rsidRPr="00F0074A">
        <w:rPr>
          <w:rFonts w:eastAsia="Calibri"/>
          <w:vertAlign w:val="superscript"/>
        </w:rPr>
        <w:footnoteReference w:id="18"/>
      </w:r>
      <w:r w:rsidRPr="00F0074A">
        <w:rPr>
          <w:rFonts w:eastAsia="Calibri"/>
        </w:rPr>
        <w:t xml:space="preserve"> y su admisibilidad no </w:t>
      </w:r>
      <w:r w:rsidRPr="00F0074A">
        <w:rPr>
          <w:rFonts w:eastAsia="Calibri"/>
        </w:rPr>
        <w:lastRenderedPageBreak/>
        <w:t xml:space="preserve">fue controvertida ni objetada. </w:t>
      </w:r>
    </w:p>
    <w:p w14:paraId="35D56182" w14:textId="78BD84EA" w:rsidR="00467516" w:rsidRPr="00F0074A" w:rsidRDefault="00467516" w:rsidP="00E06F63">
      <w:pPr>
        <w:pStyle w:val="Ttulo2"/>
      </w:pPr>
      <w:bookmarkStart w:id="47" w:name="_Toc27405415"/>
      <w:r w:rsidRPr="00F0074A">
        <w:t>B.</w:t>
      </w:r>
      <w:r w:rsidRPr="00F0074A">
        <w:tab/>
      </w:r>
      <w:r w:rsidR="00390E2D">
        <w:t xml:space="preserve"> </w:t>
      </w:r>
      <w:r w:rsidRPr="00F0074A">
        <w:t>Admisibilidad de la prueba testimonial y pericial</w:t>
      </w:r>
      <w:bookmarkEnd w:id="47"/>
    </w:p>
    <w:p w14:paraId="560A8E78" w14:textId="77777777" w:rsidR="001430FB" w:rsidRPr="00F0074A" w:rsidRDefault="001430FB" w:rsidP="00E06F63">
      <w:pPr>
        <w:numPr>
          <w:ilvl w:val="0"/>
          <w:numId w:val="11"/>
        </w:numPr>
        <w:tabs>
          <w:tab w:val="left" w:pos="567"/>
          <w:tab w:val="num" w:pos="1569"/>
          <w:tab w:val="num" w:pos="12305"/>
        </w:tabs>
        <w:spacing w:line="240" w:lineRule="auto"/>
        <w:ind w:left="0" w:firstLine="0"/>
      </w:pPr>
      <w:r w:rsidRPr="00F0074A">
        <w:rPr>
          <w:lang w:val="es-ES"/>
        </w:rPr>
        <w:t>La Corte estima pertinente admitir las declaraciones y dictámenes rendidos en audiencia pública</w:t>
      </w:r>
      <w:r w:rsidR="00BF590B" w:rsidRPr="00F0074A">
        <w:rPr>
          <w:lang w:val="es-ES"/>
        </w:rPr>
        <w:t xml:space="preserve"> </w:t>
      </w:r>
      <w:r w:rsidRPr="00F0074A">
        <w:rPr>
          <w:lang w:val="es-ES"/>
        </w:rPr>
        <w:t xml:space="preserve">y mediante </w:t>
      </w:r>
      <w:r w:rsidRPr="00F0074A">
        <w:t>declaraciones</w:t>
      </w:r>
      <w:r w:rsidRPr="00F0074A">
        <w:rPr>
          <w:lang w:val="es-ES"/>
        </w:rPr>
        <w:t xml:space="preserve"> ante fedatario público</w:t>
      </w:r>
      <w:r w:rsidRPr="00F0074A">
        <w:rPr>
          <w:rStyle w:val="Refdenotaalpie"/>
          <w:lang w:val="es-ES"/>
        </w:rPr>
        <w:footnoteReference w:id="19"/>
      </w:r>
      <w:r w:rsidRPr="00F0074A">
        <w:rPr>
          <w:lang w:val="es-ES"/>
        </w:rPr>
        <w:t xml:space="preserve"> en cuanto se ajusten al objeto definido por el Presidente en la Resolución que ordenó recibirlos</w:t>
      </w:r>
      <w:r w:rsidRPr="00F0074A">
        <w:rPr>
          <w:vertAlign w:val="superscript"/>
        </w:rPr>
        <w:footnoteReference w:id="20"/>
      </w:r>
      <w:r w:rsidRPr="00F0074A">
        <w:t>.</w:t>
      </w:r>
      <w:r w:rsidR="009A0F02" w:rsidRPr="00F0074A">
        <w:t xml:space="preserve"> </w:t>
      </w:r>
    </w:p>
    <w:p w14:paraId="6E086E0E" w14:textId="1F6C7E6C" w:rsidR="00467516" w:rsidRPr="00F0074A" w:rsidRDefault="00C954D4" w:rsidP="0010568E">
      <w:pPr>
        <w:pStyle w:val="Ttulo1"/>
      </w:pPr>
      <w:bookmarkStart w:id="48" w:name="_Toc495658661"/>
      <w:bookmarkStart w:id="49" w:name="_Toc498013630"/>
      <w:bookmarkStart w:id="50" w:name="_Toc514172615"/>
      <w:r>
        <w:t xml:space="preserve"> </w:t>
      </w:r>
      <w:bookmarkStart w:id="51" w:name="_Toc27405416"/>
      <w:r w:rsidR="00467516" w:rsidRPr="00F0074A">
        <w:t>VI</w:t>
      </w:r>
      <w:r w:rsidR="00241F90" w:rsidRPr="00F0074A">
        <w:t>I</w:t>
      </w:r>
      <w:r w:rsidR="00467516" w:rsidRPr="00F0074A">
        <w:br/>
        <w:t>HECHOS</w:t>
      </w:r>
      <w:bookmarkEnd w:id="48"/>
      <w:bookmarkEnd w:id="49"/>
      <w:bookmarkEnd w:id="50"/>
      <w:bookmarkEnd w:id="51"/>
      <w:r w:rsidR="00467516" w:rsidRPr="00F0074A">
        <w:t xml:space="preserve"> </w:t>
      </w:r>
    </w:p>
    <w:p w14:paraId="5472EE78" w14:textId="62E3016B" w:rsidR="00BF590B" w:rsidRPr="00F0074A" w:rsidRDefault="00BF590B" w:rsidP="00E06F63">
      <w:pPr>
        <w:numPr>
          <w:ilvl w:val="0"/>
          <w:numId w:val="11"/>
        </w:numPr>
        <w:tabs>
          <w:tab w:val="left" w:pos="567"/>
          <w:tab w:val="num" w:pos="1569"/>
          <w:tab w:val="num" w:pos="12305"/>
        </w:tabs>
        <w:spacing w:line="240" w:lineRule="auto"/>
        <w:ind w:left="0" w:firstLine="0"/>
      </w:pPr>
      <w:r w:rsidRPr="00F0074A">
        <w:t xml:space="preserve">En este capítulo, la Corte establecerá los hechos del caso con base al marco fáctico </w:t>
      </w:r>
      <w:r w:rsidRPr="00F0074A">
        <w:rPr>
          <w:rFonts w:cs="Calibri"/>
          <w:lang w:val="es-VE"/>
        </w:rPr>
        <w:t>sometido</w:t>
      </w:r>
      <w:r w:rsidRPr="00F0074A">
        <w:t xml:space="preserve"> al conocimiento de la Corte por la Comisión Interamericana, en relación con </w:t>
      </w:r>
      <w:r w:rsidR="00416AAE">
        <w:t>(i)</w:t>
      </w:r>
      <w:r w:rsidRPr="00F0074A">
        <w:t xml:space="preserve"> la detención, la prisión preventiva y el proceso penal </w:t>
      </w:r>
      <w:r w:rsidR="00416AAE">
        <w:t>seguido contra el señor Jenkins,</w:t>
      </w:r>
      <w:r w:rsidRPr="00F0074A">
        <w:t xml:space="preserve"> </w:t>
      </w:r>
      <w:r w:rsidR="00EE0CD0" w:rsidRPr="00F0074A">
        <w:t xml:space="preserve">y </w:t>
      </w:r>
      <w:r w:rsidR="00416AAE">
        <w:t>(ii)</w:t>
      </w:r>
      <w:r w:rsidRPr="00F0074A">
        <w:t xml:space="preserve"> el proceso de acción civil de daños y perjuicios.</w:t>
      </w:r>
    </w:p>
    <w:p w14:paraId="58335446" w14:textId="77777777" w:rsidR="00BF590B" w:rsidRPr="00F0074A" w:rsidRDefault="00BF590B" w:rsidP="00E06F63">
      <w:pPr>
        <w:tabs>
          <w:tab w:val="left" w:pos="567"/>
          <w:tab w:val="num" w:pos="12305"/>
        </w:tabs>
        <w:spacing w:line="240" w:lineRule="auto"/>
      </w:pPr>
    </w:p>
    <w:p w14:paraId="4434E3BC" w14:textId="22CC49AA" w:rsidR="00BF590B" w:rsidRPr="00F0074A" w:rsidRDefault="00390E2D" w:rsidP="00E06F63">
      <w:pPr>
        <w:pStyle w:val="Ttulo2"/>
        <w:numPr>
          <w:ilvl w:val="0"/>
          <w:numId w:val="18"/>
        </w:numPr>
        <w:spacing w:before="0" w:after="0"/>
      </w:pPr>
      <w:r>
        <w:t xml:space="preserve"> </w:t>
      </w:r>
      <w:bookmarkStart w:id="52" w:name="_Toc27405417"/>
      <w:r w:rsidR="00BF590B" w:rsidRPr="00F0074A">
        <w:t>Detención, prisión preventiva y proceso penal seguido contra el señor Jenkins</w:t>
      </w:r>
      <w:bookmarkEnd w:id="52"/>
    </w:p>
    <w:p w14:paraId="3C118920" w14:textId="7D861BE7" w:rsidR="008721E0" w:rsidRPr="00F0074A" w:rsidRDefault="008721E0" w:rsidP="00E06F63">
      <w:pPr>
        <w:pStyle w:val="Ttulo3"/>
      </w:pPr>
      <w:bookmarkStart w:id="53" w:name="_Toc27405418"/>
      <w:r w:rsidRPr="00F0074A">
        <w:t>a.1 Detención del señor Jenkins</w:t>
      </w:r>
      <w:bookmarkEnd w:id="53"/>
    </w:p>
    <w:p w14:paraId="07C664B3" w14:textId="4C42C741" w:rsidR="00BF590B" w:rsidRPr="00F0074A" w:rsidRDefault="00BF590B" w:rsidP="00E06F63">
      <w:pPr>
        <w:widowControl/>
        <w:numPr>
          <w:ilvl w:val="0"/>
          <w:numId w:val="11"/>
        </w:numPr>
        <w:tabs>
          <w:tab w:val="left" w:pos="567"/>
          <w:tab w:val="num" w:pos="1569"/>
          <w:tab w:val="num" w:pos="12305"/>
        </w:tabs>
        <w:autoSpaceDE w:val="0"/>
        <w:autoSpaceDN w:val="0"/>
        <w:adjustRightInd/>
        <w:spacing w:line="240" w:lineRule="auto"/>
        <w:ind w:left="0" w:right="-90" w:firstLine="0"/>
        <w:textAlignment w:val="auto"/>
      </w:pPr>
      <w:r w:rsidRPr="00F0074A">
        <w:t xml:space="preserve">El 7 de junio de 1994 la División Operaciones Federales de la Superintendencia de Drogas Peligrosas de la </w:t>
      </w:r>
      <w:r w:rsidRPr="00F0074A">
        <w:rPr>
          <w:rFonts w:eastAsia="Calibri"/>
        </w:rPr>
        <w:t>Policía</w:t>
      </w:r>
      <w:r w:rsidRPr="00F0074A">
        <w:t xml:space="preserve"> Federal Argentina y la División Inteligencia B de la Gendarmería Nacional solicitaron</w:t>
      </w:r>
      <w:r w:rsidR="00301F9E" w:rsidRPr="00F0074A">
        <w:t xml:space="preserve"> el allanamiento </w:t>
      </w:r>
      <w:r w:rsidR="00997C54">
        <w:t xml:space="preserve">del domicilio </w:t>
      </w:r>
      <w:r w:rsidR="00301F9E" w:rsidRPr="00F0074A">
        <w:t xml:space="preserve">y </w:t>
      </w:r>
      <w:r w:rsidR="00997C54">
        <w:t xml:space="preserve">la </w:t>
      </w:r>
      <w:r w:rsidRPr="00F0074A">
        <w:t>detención del señor Jenkins</w:t>
      </w:r>
      <w:r w:rsidR="00301F9E" w:rsidRPr="00F0074A">
        <w:t xml:space="preserve"> con base al resultado de la investigación llevada a cabo por la</w:t>
      </w:r>
      <w:r w:rsidR="00EE0CD0" w:rsidRPr="00F0074A">
        <w:t xml:space="preserve"> División Operaciones Federales, la cual </w:t>
      </w:r>
      <w:r w:rsidR="00301F9E" w:rsidRPr="00F0074A">
        <w:t>indicaba que en el domicilio del señor Jenkins, entre otros, se estarían desarrollando actividades de tráfico de estupefacientes</w:t>
      </w:r>
      <w:r w:rsidR="00301F9E" w:rsidRPr="00F0074A">
        <w:rPr>
          <w:rStyle w:val="Refdenotaalpie"/>
        </w:rPr>
        <w:footnoteReference w:id="21"/>
      </w:r>
      <w:r w:rsidR="00301F9E" w:rsidRPr="00F0074A">
        <w:t>.</w:t>
      </w:r>
    </w:p>
    <w:p w14:paraId="6111D2DC" w14:textId="77777777" w:rsidR="006F1490" w:rsidRPr="00F0074A" w:rsidRDefault="006F1490" w:rsidP="00E06F63">
      <w:pPr>
        <w:widowControl/>
        <w:tabs>
          <w:tab w:val="left" w:pos="567"/>
          <w:tab w:val="num" w:pos="12305"/>
        </w:tabs>
        <w:autoSpaceDE w:val="0"/>
        <w:autoSpaceDN w:val="0"/>
        <w:adjustRightInd/>
        <w:spacing w:line="240" w:lineRule="auto"/>
        <w:ind w:right="-90"/>
        <w:textAlignment w:val="auto"/>
      </w:pPr>
    </w:p>
    <w:p w14:paraId="03D325BB" w14:textId="77777777" w:rsidR="00BF590B" w:rsidRPr="00F0074A" w:rsidRDefault="00BF590B" w:rsidP="00E06F63">
      <w:pPr>
        <w:widowControl/>
        <w:numPr>
          <w:ilvl w:val="0"/>
          <w:numId w:val="11"/>
        </w:numPr>
        <w:tabs>
          <w:tab w:val="left" w:pos="567"/>
          <w:tab w:val="num" w:pos="1569"/>
          <w:tab w:val="num" w:pos="12305"/>
        </w:tabs>
        <w:autoSpaceDE w:val="0"/>
        <w:autoSpaceDN w:val="0"/>
        <w:adjustRightInd/>
        <w:spacing w:line="240" w:lineRule="auto"/>
        <w:ind w:left="0" w:right="-90" w:firstLine="0"/>
        <w:textAlignment w:val="auto"/>
        <w:rPr>
          <w:b/>
        </w:rPr>
      </w:pPr>
      <w:r w:rsidRPr="00F0074A">
        <w:t>El 8 de junio de 1994, en virtud de una orden dict</w:t>
      </w:r>
      <w:r w:rsidR="00301F9E" w:rsidRPr="00F0074A">
        <w:t>ada por el Juzgado Nacional en l</w:t>
      </w:r>
      <w:r w:rsidRPr="00F0074A">
        <w:t xml:space="preserve">o Criminal y Correccional Federal Nº 9 en el marco de la causa penal no. 73 denominada “Padilla Echeverry, José Gildardo </w:t>
      </w:r>
      <w:r w:rsidRPr="00F0074A">
        <w:rPr>
          <w:rFonts w:cs="Arial"/>
        </w:rPr>
        <w:t xml:space="preserve">y </w:t>
      </w:r>
      <w:r w:rsidRPr="00F0074A">
        <w:t xml:space="preserve">Otros s/ Infracción Ley </w:t>
      </w:r>
      <w:r w:rsidR="007446EE" w:rsidRPr="00F0074A">
        <w:t>no.</w:t>
      </w:r>
      <w:r w:rsidRPr="00F0074A">
        <w:t xml:space="preserve"> 23.737”</w:t>
      </w:r>
      <w:r w:rsidR="00EE0CD0" w:rsidRPr="00F0074A">
        <w:t>,</w:t>
      </w:r>
      <w:r w:rsidRPr="00F0074A">
        <w:t xml:space="preserve"> el señor Jenkins fue detenido, imputado por los delitos de tráfico ilícito de estupefacientes y asociación ilícita</w:t>
      </w:r>
      <w:r w:rsidR="00352233" w:rsidRPr="00F0074A">
        <w:rPr>
          <w:rStyle w:val="Refdenotaalpie"/>
        </w:rPr>
        <w:footnoteReference w:id="22"/>
      </w:r>
      <w:r w:rsidRPr="00F0074A">
        <w:t xml:space="preserve">. </w:t>
      </w:r>
    </w:p>
    <w:p w14:paraId="565B284F" w14:textId="0937F0FE" w:rsidR="00352233" w:rsidRPr="00F0074A" w:rsidRDefault="00120C97" w:rsidP="00120C97">
      <w:pPr>
        <w:widowControl/>
        <w:tabs>
          <w:tab w:val="left" w:pos="4080"/>
        </w:tabs>
        <w:autoSpaceDE w:val="0"/>
        <w:autoSpaceDN w:val="0"/>
        <w:adjustRightInd/>
        <w:spacing w:line="240" w:lineRule="auto"/>
        <w:ind w:right="-90"/>
        <w:textAlignment w:val="auto"/>
        <w:rPr>
          <w:b/>
        </w:rPr>
      </w:pPr>
      <w:r>
        <w:rPr>
          <w:b/>
        </w:rPr>
        <w:tab/>
      </w:r>
    </w:p>
    <w:p w14:paraId="02265371" w14:textId="77777777" w:rsidR="00BF590B" w:rsidRPr="00F0074A" w:rsidRDefault="00BF590B" w:rsidP="00E06F63">
      <w:pPr>
        <w:widowControl/>
        <w:numPr>
          <w:ilvl w:val="0"/>
          <w:numId w:val="11"/>
        </w:numPr>
        <w:tabs>
          <w:tab w:val="left" w:pos="567"/>
          <w:tab w:val="num" w:pos="1569"/>
          <w:tab w:val="num" w:pos="12305"/>
        </w:tabs>
        <w:autoSpaceDE w:val="0"/>
        <w:autoSpaceDN w:val="0"/>
        <w:adjustRightInd/>
        <w:spacing w:line="240" w:lineRule="auto"/>
        <w:ind w:left="0" w:right="-90" w:firstLine="0"/>
        <w:textAlignment w:val="auto"/>
      </w:pPr>
      <w:r w:rsidRPr="00F0074A">
        <w:t xml:space="preserve">El 29 de junio de 1994 el </w:t>
      </w:r>
      <w:r w:rsidR="00C81095" w:rsidRPr="00F0074A">
        <w:t>Juzgado Nacional en lo Criminal y Correccional Federal no. 6</w:t>
      </w:r>
      <w:r w:rsidRPr="00F0074A">
        <w:rPr>
          <w:b/>
        </w:rPr>
        <w:t xml:space="preserve"> </w:t>
      </w:r>
      <w:r w:rsidRPr="00F0074A">
        <w:t xml:space="preserve">decretó el procesamiento del señor Jenkins por considerarlo </w:t>
      </w:r>
      <w:r w:rsidR="00EE0CD0" w:rsidRPr="00F0074A">
        <w:t>“responsable autor</w:t>
      </w:r>
      <w:r w:rsidR="00C81095" w:rsidRPr="00F0074A">
        <w:t>” del comercio,</w:t>
      </w:r>
      <w:r w:rsidR="004C6365" w:rsidRPr="00F0074A">
        <w:t xml:space="preserve"> </w:t>
      </w:r>
      <w:r w:rsidR="00C81095" w:rsidRPr="00F0074A">
        <w:t xml:space="preserve">transporte, distribución </w:t>
      </w:r>
      <w:r w:rsidRPr="00F0074A">
        <w:t>y al</w:t>
      </w:r>
      <w:r w:rsidR="00C81095" w:rsidRPr="00F0074A">
        <w:t>macenamiento de estupefacientes</w:t>
      </w:r>
      <w:r w:rsidR="00C81095" w:rsidRPr="00F0074A">
        <w:rPr>
          <w:rStyle w:val="Refdenotaalpie"/>
        </w:rPr>
        <w:footnoteReference w:id="23"/>
      </w:r>
      <w:r w:rsidRPr="00F0074A">
        <w:t xml:space="preserve">. Asimismo, </w:t>
      </w:r>
      <w:r w:rsidR="00C81095" w:rsidRPr="00F0074A">
        <w:t>decretó el embargo sobre sus bienes y/o dinero hasta cubrir la suma de quinientos mil pesos y acordó convertir su detención en prisión preventiva</w:t>
      </w:r>
      <w:r w:rsidRPr="00F0074A">
        <w:rPr>
          <w:rStyle w:val="Refdenotaalpie"/>
        </w:rPr>
        <w:footnoteReference w:id="24"/>
      </w:r>
      <w:r w:rsidR="00C81095" w:rsidRPr="00F0074A">
        <w:t>.</w:t>
      </w:r>
      <w:r w:rsidRPr="00F0074A">
        <w:t xml:space="preserve"> </w:t>
      </w:r>
    </w:p>
    <w:p w14:paraId="135BC961" w14:textId="77777777" w:rsidR="00BF590B" w:rsidRPr="00F0074A" w:rsidRDefault="00BF590B" w:rsidP="00E06F63">
      <w:pPr>
        <w:pStyle w:val="Ttulo3"/>
      </w:pPr>
      <w:bookmarkStart w:id="54" w:name="_Toc27405419"/>
      <w:r w:rsidRPr="00F0074A">
        <w:lastRenderedPageBreak/>
        <w:t>a.2</w:t>
      </w:r>
      <w:r w:rsidR="008721E0" w:rsidRPr="00F0074A">
        <w:t xml:space="preserve"> </w:t>
      </w:r>
      <w:r w:rsidRPr="00F0074A">
        <w:t>Recursos interpuestos contra la prisión</w:t>
      </w:r>
      <w:bookmarkEnd w:id="54"/>
      <w:r w:rsidRPr="00F0074A">
        <w:t xml:space="preserve"> </w:t>
      </w:r>
    </w:p>
    <w:p w14:paraId="434951FA" w14:textId="38E2EF7E" w:rsidR="00BF590B" w:rsidRPr="00F0074A" w:rsidRDefault="00BF590B" w:rsidP="00E06F63">
      <w:pPr>
        <w:widowControl/>
        <w:numPr>
          <w:ilvl w:val="0"/>
          <w:numId w:val="11"/>
        </w:numPr>
        <w:tabs>
          <w:tab w:val="left" w:pos="567"/>
          <w:tab w:val="num" w:pos="1569"/>
          <w:tab w:val="num" w:pos="12305"/>
        </w:tabs>
        <w:autoSpaceDE w:val="0"/>
        <w:autoSpaceDN w:val="0"/>
        <w:adjustRightInd/>
        <w:spacing w:line="240" w:lineRule="auto"/>
        <w:ind w:left="0" w:right="-90" w:firstLine="0"/>
        <w:textAlignment w:val="auto"/>
        <w:rPr>
          <w:rFonts w:eastAsiaTheme="minorHAnsi"/>
          <w:lang w:eastAsia="en-US"/>
        </w:rPr>
      </w:pPr>
      <w:r w:rsidRPr="00F0074A">
        <w:t xml:space="preserve">Durante el tiempo que estuvo en prisión preventiva </w:t>
      </w:r>
      <w:r w:rsidR="00493100" w:rsidRPr="00F0074A">
        <w:t xml:space="preserve">el señor Jenkins </w:t>
      </w:r>
      <w:r w:rsidRPr="00F0074A">
        <w:t xml:space="preserve">planteó diversos recursos para </w:t>
      </w:r>
      <w:r w:rsidRPr="00F0074A">
        <w:rPr>
          <w:rFonts w:eastAsia="Calibri"/>
        </w:rPr>
        <w:t>obtener</w:t>
      </w:r>
      <w:r w:rsidRPr="00F0074A">
        <w:t xml:space="preserve"> su excarcelación. En primer lugar, los letrados defensores del señor Jenkins presentaron una acción conjunt</w:t>
      </w:r>
      <w:r w:rsidR="00C81095" w:rsidRPr="00F0074A">
        <w:t>a</w:t>
      </w:r>
      <w:r w:rsidRPr="00F0074A">
        <w:t xml:space="preserve"> de inconstitucionalidad y solicitud de excarcelación ante el </w:t>
      </w:r>
      <w:r w:rsidRPr="00F0074A">
        <w:rPr>
          <w:rFonts w:eastAsiaTheme="minorHAnsi"/>
          <w:lang w:eastAsia="en-US"/>
        </w:rPr>
        <w:t>Tribunal Oral en lo Criminal Federal No. 6</w:t>
      </w:r>
      <w:r w:rsidR="00C81095" w:rsidRPr="00F0074A">
        <w:rPr>
          <w:rFonts w:eastAsiaTheme="minorHAnsi"/>
          <w:lang w:eastAsia="en-US"/>
        </w:rPr>
        <w:t xml:space="preserve">. En dicho recurso indicaron que </w:t>
      </w:r>
      <w:r w:rsidRPr="00F0074A">
        <w:rPr>
          <w:rFonts w:eastAsiaTheme="minorHAnsi"/>
          <w:lang w:eastAsia="en-US"/>
        </w:rPr>
        <w:t xml:space="preserve">el artículo 10 de la Ley </w:t>
      </w:r>
      <w:r w:rsidR="002C0A4A">
        <w:rPr>
          <w:rFonts w:eastAsiaTheme="minorHAnsi"/>
          <w:lang w:eastAsia="en-US"/>
        </w:rPr>
        <w:t xml:space="preserve">No. </w:t>
      </w:r>
      <w:r w:rsidRPr="00F0074A">
        <w:rPr>
          <w:rFonts w:eastAsiaTheme="minorHAnsi"/>
          <w:lang w:eastAsia="en-US"/>
        </w:rPr>
        <w:t>24.390</w:t>
      </w:r>
      <w:r w:rsidR="00C81095" w:rsidRPr="00F0074A">
        <w:rPr>
          <w:rFonts w:eastAsiaTheme="minorHAnsi"/>
          <w:lang w:eastAsia="en-US"/>
        </w:rPr>
        <w:t xml:space="preserve"> –el cual estab</w:t>
      </w:r>
      <w:r w:rsidR="00385A28" w:rsidRPr="00F0074A">
        <w:rPr>
          <w:rFonts w:eastAsiaTheme="minorHAnsi"/>
          <w:lang w:eastAsia="en-US"/>
        </w:rPr>
        <w:t xml:space="preserve">lecía la </w:t>
      </w:r>
      <w:r w:rsidR="00404F63" w:rsidRPr="00F0074A">
        <w:rPr>
          <w:rFonts w:eastAsiaTheme="minorHAnsi"/>
          <w:lang w:eastAsia="en-US"/>
        </w:rPr>
        <w:t>exclusión de los plazos máximos de prisión preventiva</w:t>
      </w:r>
      <w:r w:rsidR="00385A28" w:rsidRPr="00F0074A">
        <w:rPr>
          <w:rFonts w:eastAsiaTheme="minorHAnsi"/>
          <w:lang w:eastAsia="en-US"/>
        </w:rPr>
        <w:t xml:space="preserve"> para aquellas personas que resultaran imputadas por delitos de narcotráfico</w:t>
      </w:r>
      <w:r w:rsidR="00C954D4">
        <w:rPr>
          <w:rStyle w:val="Refdenotaalpie"/>
          <w:rFonts w:eastAsiaTheme="minorHAnsi"/>
          <w:lang w:eastAsia="en-US"/>
        </w:rPr>
        <w:footnoteReference w:id="25"/>
      </w:r>
      <w:r w:rsidR="00385A28" w:rsidRPr="00F0074A">
        <w:rPr>
          <w:rFonts w:eastAsiaTheme="minorHAnsi"/>
          <w:lang w:eastAsia="en-US"/>
        </w:rPr>
        <w:t>–</w:t>
      </w:r>
      <w:r w:rsidRPr="00F0074A">
        <w:rPr>
          <w:rFonts w:eastAsiaTheme="minorHAnsi"/>
          <w:lang w:eastAsia="en-US"/>
        </w:rPr>
        <w:t xml:space="preserve"> </w:t>
      </w:r>
      <w:r w:rsidR="00C81095" w:rsidRPr="00F0074A">
        <w:rPr>
          <w:rFonts w:eastAsiaTheme="minorHAnsi"/>
          <w:lang w:eastAsia="en-US"/>
        </w:rPr>
        <w:t>era</w:t>
      </w:r>
      <w:r w:rsidRPr="00F0074A">
        <w:rPr>
          <w:rFonts w:eastAsiaTheme="minorHAnsi"/>
          <w:lang w:eastAsia="en-US"/>
        </w:rPr>
        <w:t xml:space="preserve"> inconstitucional </w:t>
      </w:r>
      <w:r w:rsidR="00385A28" w:rsidRPr="00F0074A">
        <w:rPr>
          <w:rFonts w:eastAsiaTheme="minorHAnsi"/>
          <w:lang w:eastAsia="en-US"/>
        </w:rPr>
        <w:t>debido a que (i) el concepto de plazo razonable en la detención preventiva debía quedar sujeto a la gravedad de la infracción</w:t>
      </w:r>
      <w:r w:rsidR="004C6365" w:rsidRPr="00F0074A">
        <w:rPr>
          <w:rFonts w:eastAsiaTheme="minorHAnsi"/>
          <w:lang w:eastAsia="en-US"/>
        </w:rPr>
        <w:t xml:space="preserve"> </w:t>
      </w:r>
      <w:r w:rsidRPr="00F0074A">
        <w:rPr>
          <w:rFonts w:eastAsiaTheme="minorHAnsi"/>
          <w:lang w:eastAsia="en-US"/>
        </w:rPr>
        <w:t xml:space="preserve">y </w:t>
      </w:r>
      <w:r w:rsidR="00C81095" w:rsidRPr="00F0074A">
        <w:rPr>
          <w:rFonts w:eastAsiaTheme="minorHAnsi"/>
          <w:lang w:eastAsia="en-US"/>
        </w:rPr>
        <w:t xml:space="preserve">(ii) </w:t>
      </w:r>
      <w:r w:rsidRPr="00F0074A">
        <w:rPr>
          <w:rFonts w:eastAsiaTheme="minorHAnsi"/>
          <w:lang w:eastAsia="en-US"/>
        </w:rPr>
        <w:t>había</w:t>
      </w:r>
      <w:r w:rsidR="00385A28" w:rsidRPr="00F0074A">
        <w:rPr>
          <w:rFonts w:eastAsiaTheme="minorHAnsi"/>
          <w:lang w:eastAsia="en-US"/>
        </w:rPr>
        <w:t xml:space="preserve"> delitos más gravosos que sí admitían </w:t>
      </w:r>
      <w:r w:rsidRPr="00F0074A">
        <w:rPr>
          <w:rFonts w:eastAsiaTheme="minorHAnsi"/>
          <w:lang w:eastAsia="en-US"/>
        </w:rPr>
        <w:t xml:space="preserve">la excarcelación como </w:t>
      </w:r>
      <w:r w:rsidR="00385A28" w:rsidRPr="00F0074A">
        <w:rPr>
          <w:rFonts w:eastAsiaTheme="minorHAnsi"/>
          <w:lang w:eastAsia="en-US"/>
        </w:rPr>
        <w:t>lo era el</w:t>
      </w:r>
      <w:r w:rsidRPr="00F0074A">
        <w:rPr>
          <w:rFonts w:eastAsiaTheme="minorHAnsi"/>
          <w:lang w:eastAsia="en-US"/>
        </w:rPr>
        <w:t xml:space="preserve"> homicidio calificado</w:t>
      </w:r>
      <w:r w:rsidR="00C81095" w:rsidRPr="00F0074A">
        <w:rPr>
          <w:rStyle w:val="Refdenotaalpie"/>
          <w:rFonts w:eastAsiaTheme="minorHAnsi"/>
          <w:lang w:eastAsia="en-US"/>
        </w:rPr>
        <w:footnoteReference w:id="26"/>
      </w:r>
      <w:r w:rsidR="00385A28" w:rsidRPr="00F0074A">
        <w:rPr>
          <w:rStyle w:val="Refdecomentario"/>
          <w:rFonts w:eastAsiaTheme="minorHAnsi" w:cstheme="minorBidi"/>
          <w:sz w:val="20"/>
          <w:szCs w:val="20"/>
          <w:lang w:eastAsia="en-US"/>
        </w:rPr>
        <w:t>.</w:t>
      </w:r>
      <w:r w:rsidRPr="00F0074A">
        <w:rPr>
          <w:rFonts w:eastAsiaTheme="minorHAnsi"/>
          <w:lang w:eastAsia="en-US"/>
        </w:rPr>
        <w:t xml:space="preserve"> Además, los defensores agregaron que “dicha norma también e[ra] violatoria del art. 16 de la Constitución Nacional en cuanto prescrib[ía] que todos los ciudadanos son iguales ante la ley, pues la norma </w:t>
      </w:r>
      <w:r w:rsidR="00385A28" w:rsidRPr="00F0074A">
        <w:rPr>
          <w:rFonts w:eastAsiaTheme="minorHAnsi"/>
          <w:lang w:eastAsia="en-US"/>
        </w:rPr>
        <w:t>cuestionada hac[ía]</w:t>
      </w:r>
      <w:r w:rsidRPr="00F0074A">
        <w:rPr>
          <w:rFonts w:eastAsiaTheme="minorHAnsi"/>
          <w:lang w:eastAsia="en-US"/>
        </w:rPr>
        <w:t xml:space="preserve"> una excepción arbitraria </w:t>
      </w:r>
      <w:r w:rsidR="00385A28" w:rsidRPr="00F0074A">
        <w:rPr>
          <w:rFonts w:eastAsiaTheme="minorHAnsi"/>
          <w:lang w:eastAsia="en-US"/>
        </w:rPr>
        <w:t>[…]</w:t>
      </w:r>
      <w:r w:rsidRPr="00F0074A">
        <w:rPr>
          <w:rFonts w:eastAsiaTheme="minorHAnsi"/>
          <w:lang w:eastAsia="en-US"/>
        </w:rPr>
        <w:t>, creando de esta forma desigualdades manifiestas en el tratamiento de situaciones procesales idénticas”</w:t>
      </w:r>
      <w:r w:rsidRPr="00F0074A">
        <w:rPr>
          <w:rStyle w:val="Refdenotaalpie"/>
          <w:rFonts w:eastAsiaTheme="minorHAnsi"/>
          <w:lang w:eastAsia="en-US"/>
        </w:rPr>
        <w:footnoteReference w:id="27"/>
      </w:r>
      <w:r w:rsidRPr="00F0074A">
        <w:rPr>
          <w:rFonts w:eastAsiaTheme="minorHAnsi"/>
          <w:lang w:eastAsia="en-US"/>
        </w:rPr>
        <w:t xml:space="preserve">. </w:t>
      </w:r>
    </w:p>
    <w:p w14:paraId="6EDAB617" w14:textId="77777777" w:rsidR="00BF590B" w:rsidRPr="00F0074A" w:rsidRDefault="007446EE" w:rsidP="00E06F63">
      <w:pPr>
        <w:widowControl/>
        <w:autoSpaceDE w:val="0"/>
        <w:autoSpaceDN w:val="0"/>
        <w:spacing w:line="240" w:lineRule="auto"/>
        <w:textAlignment w:val="auto"/>
        <w:rPr>
          <w:rFonts w:eastAsiaTheme="minorHAnsi"/>
          <w:lang w:eastAsia="en-US"/>
        </w:rPr>
      </w:pPr>
      <w:r w:rsidRPr="00F0074A">
        <w:rPr>
          <w:rFonts w:eastAsiaTheme="minorHAnsi"/>
          <w:lang w:eastAsia="en-US"/>
        </w:rPr>
        <w:t xml:space="preserve"> </w:t>
      </w:r>
    </w:p>
    <w:p w14:paraId="57887B21" w14:textId="77777777" w:rsidR="00385A28" w:rsidRPr="00F0074A" w:rsidRDefault="00BF590B" w:rsidP="00E06F63">
      <w:pPr>
        <w:widowControl/>
        <w:numPr>
          <w:ilvl w:val="0"/>
          <w:numId w:val="11"/>
        </w:numPr>
        <w:tabs>
          <w:tab w:val="left" w:pos="567"/>
          <w:tab w:val="num" w:pos="1569"/>
          <w:tab w:val="num" w:pos="12305"/>
        </w:tabs>
        <w:autoSpaceDE w:val="0"/>
        <w:autoSpaceDN w:val="0"/>
        <w:adjustRightInd/>
        <w:spacing w:line="240" w:lineRule="auto"/>
        <w:ind w:left="0" w:right="-90" w:firstLine="0"/>
        <w:textAlignment w:val="auto"/>
        <w:rPr>
          <w:rFonts w:eastAsiaTheme="minorHAnsi"/>
          <w:color w:val="373737"/>
          <w:lang w:eastAsia="en-US"/>
        </w:rPr>
      </w:pPr>
      <w:r w:rsidRPr="00F0074A">
        <w:rPr>
          <w:rFonts w:eastAsiaTheme="minorHAnsi"/>
          <w:lang w:eastAsia="en-US"/>
        </w:rPr>
        <w:t xml:space="preserve">El 2 de </w:t>
      </w:r>
      <w:r w:rsidRPr="00F0074A">
        <w:rPr>
          <w:rFonts w:eastAsia="Calibri"/>
        </w:rPr>
        <w:t>octubre</w:t>
      </w:r>
      <w:r w:rsidRPr="00F0074A">
        <w:rPr>
          <w:rFonts w:eastAsiaTheme="minorHAnsi"/>
          <w:lang w:eastAsia="en-US"/>
        </w:rPr>
        <w:t xml:space="preserve"> </w:t>
      </w:r>
      <w:r w:rsidR="00385A28" w:rsidRPr="00F0074A">
        <w:rPr>
          <w:rFonts w:eastAsiaTheme="minorHAnsi"/>
          <w:lang w:eastAsia="en-US"/>
        </w:rPr>
        <w:t xml:space="preserve">de 1996 </w:t>
      </w:r>
      <w:r w:rsidRPr="00F0074A">
        <w:t xml:space="preserve">el </w:t>
      </w:r>
      <w:r w:rsidRPr="00F0074A">
        <w:rPr>
          <w:rFonts w:eastAsiaTheme="minorHAnsi"/>
          <w:lang w:eastAsia="en-US"/>
        </w:rPr>
        <w:t xml:space="preserve">Tribunal Oral en lo Criminal Federal No. 6 resolvió declarar sin lugar </w:t>
      </w:r>
      <w:r w:rsidR="00385A28" w:rsidRPr="00F0074A">
        <w:rPr>
          <w:rFonts w:eastAsiaTheme="minorHAnsi"/>
          <w:lang w:eastAsia="en-US"/>
        </w:rPr>
        <w:t>el recurso</w:t>
      </w:r>
      <w:r w:rsidR="00404F63" w:rsidRPr="00F0074A">
        <w:rPr>
          <w:rFonts w:eastAsiaTheme="minorHAnsi"/>
          <w:lang w:eastAsia="en-US"/>
        </w:rPr>
        <w:t xml:space="preserve"> de inconstitucionalidad</w:t>
      </w:r>
      <w:r w:rsidRPr="00F0074A">
        <w:rPr>
          <w:rFonts w:eastAsiaTheme="minorHAnsi"/>
          <w:lang w:eastAsia="en-US"/>
        </w:rPr>
        <w:t>. Dicho t</w:t>
      </w:r>
      <w:r w:rsidR="00385A28" w:rsidRPr="00F0074A">
        <w:rPr>
          <w:rFonts w:eastAsiaTheme="minorHAnsi"/>
          <w:lang w:eastAsia="en-US"/>
        </w:rPr>
        <w:t>ribunal razonó lo siguiente</w:t>
      </w:r>
      <w:r w:rsidR="00404F63" w:rsidRPr="00F0074A">
        <w:rPr>
          <w:rFonts w:eastAsiaTheme="minorHAnsi"/>
          <w:lang w:eastAsia="en-US"/>
        </w:rPr>
        <w:t>:</w:t>
      </w:r>
    </w:p>
    <w:p w14:paraId="29E874AF" w14:textId="77777777" w:rsidR="00385A28" w:rsidRPr="00F0074A" w:rsidRDefault="00385A28" w:rsidP="00E06F63">
      <w:pPr>
        <w:widowControl/>
        <w:tabs>
          <w:tab w:val="left" w:pos="567"/>
          <w:tab w:val="num" w:pos="12305"/>
        </w:tabs>
        <w:autoSpaceDE w:val="0"/>
        <w:autoSpaceDN w:val="0"/>
        <w:adjustRightInd/>
        <w:spacing w:line="240" w:lineRule="auto"/>
        <w:ind w:right="-90"/>
        <w:textAlignment w:val="auto"/>
        <w:rPr>
          <w:rFonts w:eastAsiaTheme="minorHAnsi"/>
          <w:color w:val="373737"/>
          <w:lang w:eastAsia="en-US"/>
        </w:rPr>
      </w:pPr>
    </w:p>
    <w:p w14:paraId="55D1334B" w14:textId="2CD24DC6" w:rsidR="00385A28" w:rsidRPr="000A0DA8" w:rsidRDefault="00537440" w:rsidP="00E06F63">
      <w:pPr>
        <w:widowControl/>
        <w:tabs>
          <w:tab w:val="left" w:pos="567"/>
          <w:tab w:val="num" w:pos="12305"/>
        </w:tabs>
        <w:autoSpaceDE w:val="0"/>
        <w:autoSpaceDN w:val="0"/>
        <w:adjustRightInd/>
        <w:spacing w:line="240" w:lineRule="auto"/>
        <w:ind w:left="630" w:right="720"/>
        <w:textAlignment w:val="auto"/>
        <w:rPr>
          <w:rFonts w:eastAsiaTheme="minorHAnsi"/>
          <w:sz w:val="18"/>
          <w:szCs w:val="18"/>
          <w:lang w:eastAsia="en-US"/>
        </w:rPr>
      </w:pPr>
      <w:r>
        <w:rPr>
          <w:rFonts w:eastAsiaTheme="minorHAnsi"/>
          <w:sz w:val="18"/>
          <w:szCs w:val="18"/>
          <w:lang w:eastAsia="en-US"/>
        </w:rPr>
        <w:t>[…]</w:t>
      </w:r>
      <w:r w:rsidR="00385A28" w:rsidRPr="000A0DA8">
        <w:rPr>
          <w:rFonts w:eastAsiaTheme="minorHAnsi"/>
          <w:sz w:val="18"/>
          <w:szCs w:val="18"/>
          <w:lang w:eastAsia="en-US"/>
        </w:rPr>
        <w:t>[N]o le parece</w:t>
      </w:r>
      <w:r w:rsidR="00BF590B" w:rsidRPr="000A0DA8">
        <w:rPr>
          <w:rFonts w:eastAsiaTheme="minorHAnsi"/>
          <w:sz w:val="18"/>
          <w:szCs w:val="18"/>
          <w:lang w:eastAsia="en-US"/>
        </w:rPr>
        <w:t xml:space="preserve"> irrazonable </w:t>
      </w:r>
      <w:r w:rsidR="00385A28" w:rsidRPr="000A0DA8">
        <w:rPr>
          <w:rFonts w:eastAsiaTheme="minorHAnsi"/>
          <w:sz w:val="18"/>
          <w:szCs w:val="18"/>
          <w:lang w:eastAsia="en-US"/>
        </w:rPr>
        <w:t>[…]</w:t>
      </w:r>
      <w:r w:rsidR="00BF590B" w:rsidRPr="000A0DA8">
        <w:rPr>
          <w:rFonts w:eastAsiaTheme="minorHAnsi"/>
          <w:sz w:val="18"/>
          <w:szCs w:val="18"/>
          <w:lang w:eastAsia="en-US"/>
        </w:rPr>
        <w:t xml:space="preserve"> la exclusión de los alcances de los artículos primero a séptimo de la ley 24.390 fijada en el artículo décimo de dicho cuerpo normativo, atento que las conductas detalladas en dicho precepto han merecido un especial tratamiento de los órganos del estado competentes, en el caso concreto el Congreso Nacional, al conminar con penas harto elevad</w:t>
      </w:r>
      <w:r w:rsidR="00A844A4" w:rsidRPr="000A0DA8">
        <w:rPr>
          <w:rFonts w:eastAsiaTheme="minorHAnsi"/>
          <w:sz w:val="18"/>
          <w:szCs w:val="18"/>
          <w:lang w:eastAsia="en-US"/>
        </w:rPr>
        <w:t>as los tipos penales indicados ‘</w:t>
      </w:r>
      <w:r w:rsidR="00BF590B" w:rsidRPr="000A0DA8">
        <w:rPr>
          <w:rFonts w:eastAsiaTheme="minorHAnsi"/>
          <w:sz w:val="18"/>
          <w:szCs w:val="18"/>
          <w:lang w:eastAsia="en-US"/>
        </w:rPr>
        <w:t>supra</w:t>
      </w:r>
      <w:r w:rsidR="00A844A4" w:rsidRPr="000A0DA8">
        <w:rPr>
          <w:rFonts w:eastAsiaTheme="minorHAnsi"/>
          <w:sz w:val="18"/>
          <w:szCs w:val="18"/>
          <w:lang w:eastAsia="en-US"/>
        </w:rPr>
        <w:t>’</w:t>
      </w:r>
      <w:r w:rsidR="00BF590B" w:rsidRPr="000A0DA8">
        <w:rPr>
          <w:rFonts w:eastAsiaTheme="minorHAnsi"/>
          <w:sz w:val="18"/>
          <w:szCs w:val="18"/>
          <w:lang w:eastAsia="en-US"/>
        </w:rPr>
        <w:t xml:space="preserve">, mostrando a </w:t>
      </w:r>
      <w:r w:rsidR="00BF590B" w:rsidRPr="000A0DA8">
        <w:rPr>
          <w:rFonts w:eastAsiaTheme="minorHAnsi" w:cs="Arial"/>
          <w:iCs/>
          <w:sz w:val="18"/>
          <w:szCs w:val="18"/>
          <w:lang w:eastAsia="en-US"/>
        </w:rPr>
        <w:t>las</w:t>
      </w:r>
      <w:r w:rsidR="00BF590B" w:rsidRPr="000A0DA8">
        <w:rPr>
          <w:rFonts w:eastAsiaTheme="minorHAnsi"/>
          <w:sz w:val="18"/>
          <w:szCs w:val="18"/>
          <w:lang w:eastAsia="en-US"/>
        </w:rPr>
        <w:t xml:space="preserve"> claras el interés en perseguir a esa clase de organizaciones criminales, -y a sus integrantes-, dedicadas al tráfico de sustancias estupefacientes, como correlato de las obligaciones contraídas por la Nación al suscribir la Convención de Viena sobre la represión al tráfico de aquellas sustancia</w:t>
      </w:r>
      <w:r w:rsidR="00A905B0">
        <w:rPr>
          <w:rFonts w:eastAsiaTheme="minorHAnsi"/>
          <w:sz w:val="18"/>
          <w:szCs w:val="18"/>
          <w:lang w:eastAsia="en-US"/>
        </w:rPr>
        <w:t>s</w:t>
      </w:r>
      <w:r w:rsidR="00BF590B" w:rsidRPr="000A0DA8">
        <w:rPr>
          <w:rFonts w:eastAsiaTheme="minorHAnsi"/>
          <w:sz w:val="18"/>
          <w:szCs w:val="18"/>
          <w:lang w:eastAsia="en-US"/>
        </w:rPr>
        <w:t>. […] [C]onsecuente con dicha gravedad y el interés superior que tales conductas afectan, el vedar a aquellos sometidos a proceso por la comisión de cualquiera de esos tipos penales la posibilidad de gozar, durante el trámite de los mismos, del derecho a la soltura provisoria, para garantizar la presencia de éstos durante toda la sustanciac</w:t>
      </w:r>
      <w:r w:rsidR="00A844A4" w:rsidRPr="000A0DA8">
        <w:rPr>
          <w:rFonts w:eastAsiaTheme="minorHAnsi"/>
          <w:sz w:val="18"/>
          <w:szCs w:val="18"/>
          <w:lang w:eastAsia="en-US"/>
        </w:rPr>
        <w:t>ión de aquellos.</w:t>
      </w:r>
      <w:r w:rsidR="00A844A4" w:rsidRPr="000A0DA8">
        <w:rPr>
          <w:rStyle w:val="Refdenotaalpie"/>
          <w:rFonts w:eastAsiaTheme="minorHAnsi"/>
          <w:sz w:val="18"/>
          <w:szCs w:val="18"/>
          <w:lang w:eastAsia="en-US"/>
        </w:rPr>
        <w:footnoteReference w:id="28"/>
      </w:r>
    </w:p>
    <w:p w14:paraId="55A9964B" w14:textId="77777777" w:rsidR="00BF590B" w:rsidRPr="00F0074A" w:rsidRDefault="00BF590B" w:rsidP="00E06F63">
      <w:pPr>
        <w:widowControl/>
        <w:tabs>
          <w:tab w:val="left" w:pos="567"/>
        </w:tabs>
        <w:autoSpaceDE w:val="0"/>
        <w:autoSpaceDN w:val="0"/>
        <w:adjustRightInd/>
        <w:spacing w:line="240" w:lineRule="auto"/>
        <w:ind w:right="-90"/>
        <w:textAlignment w:val="auto"/>
        <w:rPr>
          <w:rFonts w:eastAsiaTheme="minorHAnsi"/>
          <w:color w:val="373737"/>
          <w:lang w:eastAsia="en-US"/>
        </w:rPr>
      </w:pPr>
    </w:p>
    <w:p w14:paraId="65F7911D" w14:textId="245DBA39" w:rsidR="00BF590B" w:rsidRPr="00F0074A" w:rsidRDefault="00BF590B" w:rsidP="00E06F63">
      <w:pPr>
        <w:widowControl/>
        <w:numPr>
          <w:ilvl w:val="0"/>
          <w:numId w:val="11"/>
        </w:numPr>
        <w:tabs>
          <w:tab w:val="left" w:pos="567"/>
          <w:tab w:val="num" w:pos="1569"/>
          <w:tab w:val="num" w:pos="12305"/>
        </w:tabs>
        <w:autoSpaceDE w:val="0"/>
        <w:autoSpaceDN w:val="0"/>
        <w:adjustRightInd/>
        <w:spacing w:line="240" w:lineRule="auto"/>
        <w:ind w:left="0" w:right="-90" w:firstLine="0"/>
        <w:textAlignment w:val="auto"/>
        <w:rPr>
          <w:rFonts w:eastAsiaTheme="minorHAnsi"/>
          <w:color w:val="373737"/>
          <w:lang w:eastAsia="en-US"/>
        </w:rPr>
      </w:pPr>
      <w:r w:rsidRPr="00F0074A">
        <w:rPr>
          <w:rFonts w:eastAsiaTheme="minorHAnsi"/>
          <w:lang w:eastAsia="en-US"/>
        </w:rPr>
        <w:t xml:space="preserve">Además, el Tribunal </w:t>
      </w:r>
      <w:r w:rsidRPr="00F0074A">
        <w:rPr>
          <w:rFonts w:eastAsia="Calibri"/>
        </w:rPr>
        <w:t>Oral</w:t>
      </w:r>
      <w:r w:rsidRPr="00F0074A">
        <w:rPr>
          <w:rFonts w:eastAsiaTheme="minorHAnsi"/>
          <w:lang w:eastAsia="en-US"/>
        </w:rPr>
        <w:t xml:space="preserve"> indicó que la norma en cuestión </w:t>
      </w:r>
      <w:r w:rsidR="00404F63" w:rsidRPr="00F0074A">
        <w:rPr>
          <w:rFonts w:eastAsiaTheme="minorHAnsi"/>
          <w:lang w:eastAsia="en-US"/>
        </w:rPr>
        <w:t>era</w:t>
      </w:r>
      <w:r w:rsidRPr="00F0074A">
        <w:rPr>
          <w:rFonts w:eastAsiaTheme="minorHAnsi"/>
          <w:lang w:eastAsia="en-US"/>
        </w:rPr>
        <w:t xml:space="preserve"> compatible con el artículo 7.5 de la </w:t>
      </w:r>
      <w:r w:rsidRPr="00F0074A">
        <w:rPr>
          <w:rFonts w:eastAsia="Calibri"/>
        </w:rPr>
        <w:t>Convención</w:t>
      </w:r>
      <w:r w:rsidRPr="00F0074A">
        <w:rPr>
          <w:rFonts w:eastAsiaTheme="minorHAnsi"/>
          <w:lang w:eastAsia="en-US"/>
        </w:rPr>
        <w:t xml:space="preserve"> Americana “puesto que lo que la convención exige es que toda persona sea juzgada o puesta </w:t>
      </w:r>
      <w:r w:rsidRPr="00F0074A">
        <w:rPr>
          <w:rFonts w:eastAsia="Calibri"/>
        </w:rPr>
        <w:t>en</w:t>
      </w:r>
      <w:r w:rsidRPr="00F0074A">
        <w:rPr>
          <w:rFonts w:eastAsiaTheme="minorHAnsi"/>
          <w:lang w:eastAsia="en-US"/>
        </w:rPr>
        <w:t xml:space="preserve"> libertad dentro de un ‘plazo razonable’, pero no impide que cada </w:t>
      </w:r>
      <w:r w:rsidR="00404F63" w:rsidRPr="00F0074A">
        <w:rPr>
          <w:rFonts w:eastAsiaTheme="minorHAnsi"/>
          <w:lang w:eastAsia="en-US"/>
        </w:rPr>
        <w:t>E</w:t>
      </w:r>
      <w:r w:rsidRPr="00F0074A">
        <w:rPr>
          <w:rFonts w:eastAsiaTheme="minorHAnsi"/>
          <w:lang w:eastAsia="en-US"/>
        </w:rPr>
        <w:t>stado adecue esos plazos según criterios de política criminal relacionados fundamentalmente con razones de interés público”</w:t>
      </w:r>
      <w:r w:rsidR="00A844A4" w:rsidRPr="00F0074A">
        <w:rPr>
          <w:rStyle w:val="Refdenotaalpie"/>
          <w:rFonts w:eastAsiaTheme="minorHAnsi"/>
          <w:lang w:eastAsia="en-US"/>
        </w:rPr>
        <w:footnoteReference w:id="29"/>
      </w:r>
      <w:r w:rsidRPr="00F0074A">
        <w:rPr>
          <w:rFonts w:eastAsiaTheme="minorHAnsi"/>
          <w:lang w:eastAsia="en-US"/>
        </w:rPr>
        <w:t>. El Tribunal Oral añadió que la ex</w:t>
      </w:r>
      <w:r w:rsidR="002C0A4A">
        <w:rPr>
          <w:rFonts w:eastAsiaTheme="minorHAnsi"/>
          <w:lang w:eastAsia="en-US"/>
        </w:rPr>
        <w:t>clusión de la aplicación de la L</w:t>
      </w:r>
      <w:r w:rsidRPr="00F0074A">
        <w:rPr>
          <w:rFonts w:eastAsiaTheme="minorHAnsi"/>
          <w:lang w:eastAsia="en-US"/>
        </w:rPr>
        <w:t xml:space="preserve">ey </w:t>
      </w:r>
      <w:r w:rsidR="002C0A4A">
        <w:rPr>
          <w:rFonts w:eastAsiaTheme="minorHAnsi"/>
          <w:lang w:eastAsia="en-US"/>
        </w:rPr>
        <w:t xml:space="preserve">No. </w:t>
      </w:r>
      <w:r w:rsidRPr="00F0074A">
        <w:rPr>
          <w:rFonts w:eastAsiaTheme="minorHAnsi"/>
          <w:lang w:eastAsia="en-US"/>
        </w:rPr>
        <w:t xml:space="preserve">24.390 no </w:t>
      </w:r>
      <w:r w:rsidRPr="00F0074A">
        <w:rPr>
          <w:rFonts w:eastAsiaTheme="minorHAnsi"/>
          <w:lang w:eastAsia="en-US"/>
        </w:rPr>
        <w:lastRenderedPageBreak/>
        <w:t>implica</w:t>
      </w:r>
      <w:r w:rsidR="00A844A4" w:rsidRPr="00F0074A">
        <w:rPr>
          <w:rFonts w:eastAsiaTheme="minorHAnsi"/>
          <w:lang w:eastAsia="en-US"/>
        </w:rPr>
        <w:t>ba</w:t>
      </w:r>
      <w:r w:rsidRPr="00F0074A">
        <w:rPr>
          <w:rFonts w:eastAsiaTheme="minorHAnsi"/>
          <w:lang w:eastAsia="en-US"/>
        </w:rPr>
        <w:t xml:space="preserve"> la derogación de los principios de la libertad individual y de la presunción de inocencia, y tampoco implica</w:t>
      </w:r>
      <w:r w:rsidR="00642A2A" w:rsidRPr="00F0074A">
        <w:rPr>
          <w:rFonts w:eastAsiaTheme="minorHAnsi"/>
          <w:lang w:eastAsia="en-US"/>
        </w:rPr>
        <w:t>ba</w:t>
      </w:r>
      <w:r w:rsidRPr="00F0074A">
        <w:rPr>
          <w:rFonts w:eastAsiaTheme="minorHAnsi"/>
          <w:lang w:eastAsia="en-US"/>
        </w:rPr>
        <w:t xml:space="preserve"> violación al principio de igualdad ante la ley</w:t>
      </w:r>
      <w:r w:rsidRPr="00F0074A">
        <w:rPr>
          <w:rStyle w:val="Refdenotaalpie"/>
          <w:rFonts w:eastAsiaTheme="minorHAnsi"/>
          <w:lang w:eastAsia="en-US"/>
        </w:rPr>
        <w:footnoteReference w:id="30"/>
      </w:r>
      <w:r w:rsidR="00A844A4" w:rsidRPr="00F0074A">
        <w:rPr>
          <w:rFonts w:eastAsiaTheme="minorHAnsi"/>
          <w:lang w:eastAsia="en-US"/>
        </w:rPr>
        <w:t>.</w:t>
      </w:r>
    </w:p>
    <w:p w14:paraId="6586E584" w14:textId="77777777" w:rsidR="00BF590B" w:rsidRPr="00F0074A" w:rsidRDefault="00BF590B" w:rsidP="00E06F63">
      <w:pPr>
        <w:widowControl/>
        <w:autoSpaceDE w:val="0"/>
        <w:autoSpaceDN w:val="0"/>
        <w:spacing w:line="240" w:lineRule="auto"/>
        <w:textAlignment w:val="auto"/>
      </w:pPr>
    </w:p>
    <w:p w14:paraId="031FECF2" w14:textId="77777777" w:rsidR="00BF590B" w:rsidRPr="00F0074A" w:rsidRDefault="00BF590B" w:rsidP="00E06F63">
      <w:pPr>
        <w:numPr>
          <w:ilvl w:val="0"/>
          <w:numId w:val="11"/>
        </w:numPr>
        <w:tabs>
          <w:tab w:val="left" w:pos="567"/>
          <w:tab w:val="num" w:pos="1569"/>
          <w:tab w:val="num" w:pos="12305"/>
        </w:tabs>
        <w:spacing w:line="240" w:lineRule="auto"/>
        <w:ind w:left="0" w:firstLine="0"/>
        <w:rPr>
          <w:rFonts w:eastAsiaTheme="minorHAnsi"/>
          <w:color w:val="525252"/>
          <w:lang w:eastAsia="en-US"/>
        </w:rPr>
      </w:pPr>
      <w:r w:rsidRPr="00F0074A">
        <w:t>Los defensores del señor Jenkins interpusieron</w:t>
      </w:r>
      <w:r w:rsidR="007446EE" w:rsidRPr="00F0074A">
        <w:t xml:space="preserve"> </w:t>
      </w:r>
      <w:r w:rsidR="00404F63" w:rsidRPr="00F0074A">
        <w:t xml:space="preserve">a continuación </w:t>
      </w:r>
      <w:r w:rsidRPr="00F0074A">
        <w:t xml:space="preserve">un recurso de inconstitucionalidad </w:t>
      </w:r>
      <w:r w:rsidR="00404F63" w:rsidRPr="00F0074A">
        <w:t xml:space="preserve">ante la Cámara Nacional de Casación Penal </w:t>
      </w:r>
      <w:r w:rsidRPr="00F0074A">
        <w:t xml:space="preserve">en </w:t>
      </w:r>
      <w:r w:rsidR="00404F63" w:rsidRPr="00F0074A">
        <w:t>c</w:t>
      </w:r>
      <w:r w:rsidRPr="00F0074A">
        <w:t xml:space="preserve">ontra de la resolución del </w:t>
      </w:r>
      <w:r w:rsidRPr="00F0074A">
        <w:rPr>
          <w:rFonts w:eastAsia="Calibri"/>
        </w:rPr>
        <w:t>Tribunal</w:t>
      </w:r>
      <w:r w:rsidRPr="00F0074A">
        <w:rPr>
          <w:rFonts w:eastAsiaTheme="minorHAnsi"/>
          <w:lang w:eastAsia="en-US"/>
        </w:rPr>
        <w:t xml:space="preserve"> Oral Federal No. 6</w:t>
      </w:r>
      <w:r w:rsidRPr="00F0074A">
        <w:t xml:space="preserve">. El recurso planteado señaló que la decisión </w:t>
      </w:r>
      <w:r w:rsidR="00404F63" w:rsidRPr="00F0074A">
        <w:t>había sido</w:t>
      </w:r>
      <w:r w:rsidRPr="00F0074A">
        <w:t xml:space="preserve"> arbitraria </w:t>
      </w:r>
      <w:r w:rsidR="00642A2A" w:rsidRPr="00F0074A">
        <w:t>toda vez que</w:t>
      </w:r>
      <w:r w:rsidRPr="00F0074A">
        <w:t xml:space="preserve"> no </w:t>
      </w:r>
      <w:r w:rsidR="00404F63" w:rsidRPr="00F0074A">
        <w:t xml:space="preserve">había tomado </w:t>
      </w:r>
      <w:r w:rsidRPr="00F0074A">
        <w:t xml:space="preserve">en cuenta los argumentos planteados por </w:t>
      </w:r>
      <w:r w:rsidR="00404F63" w:rsidRPr="00F0074A">
        <w:t>la</w:t>
      </w:r>
      <w:r w:rsidRPr="00F0074A">
        <w:t xml:space="preserve"> defensa, limitándose a reproducir un fal</w:t>
      </w:r>
      <w:r w:rsidR="00404F63" w:rsidRPr="00F0074A">
        <w:t>lo anterior del mismo Tribunal</w:t>
      </w:r>
      <w:r w:rsidR="00404F63" w:rsidRPr="00F0074A">
        <w:rPr>
          <w:rStyle w:val="Refdenotaalpie"/>
        </w:rPr>
        <w:footnoteReference w:id="31"/>
      </w:r>
      <w:r w:rsidRPr="00F0074A">
        <w:t xml:space="preserve">. </w:t>
      </w:r>
      <w:r w:rsidR="00404F63" w:rsidRPr="00F0074A">
        <w:t>También se reiteró</w:t>
      </w:r>
      <w:r w:rsidRPr="00F0074A">
        <w:t xml:space="preserve"> que l</w:t>
      </w:r>
      <w:r w:rsidRPr="00F0074A">
        <w:rPr>
          <w:rFonts w:eastAsiaTheme="minorHAnsi"/>
          <w:lang w:eastAsia="en-US"/>
        </w:rPr>
        <w:t>a prohibición de excarcelación para aquellas personas que result</w:t>
      </w:r>
      <w:r w:rsidR="00404F63" w:rsidRPr="00F0074A">
        <w:rPr>
          <w:rFonts w:eastAsiaTheme="minorHAnsi"/>
          <w:lang w:eastAsia="en-US"/>
        </w:rPr>
        <w:t>aran</w:t>
      </w:r>
      <w:r w:rsidRPr="00F0074A">
        <w:rPr>
          <w:rFonts w:eastAsiaTheme="minorHAnsi"/>
          <w:lang w:eastAsia="en-US"/>
        </w:rPr>
        <w:t xml:space="preserve"> imputadas por </w:t>
      </w:r>
      <w:r w:rsidR="00404F63" w:rsidRPr="00F0074A">
        <w:rPr>
          <w:rFonts w:eastAsiaTheme="minorHAnsi"/>
          <w:lang w:eastAsia="en-US"/>
        </w:rPr>
        <w:t>delitos vinculados con el narcotráfico era</w:t>
      </w:r>
      <w:r w:rsidR="004C6365" w:rsidRPr="00F0074A">
        <w:rPr>
          <w:rFonts w:eastAsiaTheme="minorHAnsi"/>
          <w:lang w:eastAsia="en-US"/>
        </w:rPr>
        <w:t xml:space="preserve"> </w:t>
      </w:r>
      <w:r w:rsidRPr="00F0074A">
        <w:rPr>
          <w:rFonts w:eastAsiaTheme="minorHAnsi"/>
          <w:lang w:eastAsia="en-US"/>
        </w:rPr>
        <w:t>“manifiestamente irracional</w:t>
      </w:r>
      <w:r w:rsidR="00404F63" w:rsidRPr="00F0074A">
        <w:rPr>
          <w:rFonts w:eastAsiaTheme="minorHAnsi"/>
          <w:lang w:eastAsia="en-US"/>
        </w:rPr>
        <w:t>”</w:t>
      </w:r>
      <w:r w:rsidRPr="00F0074A">
        <w:rPr>
          <w:rStyle w:val="Refdenotaalpie"/>
          <w:rFonts w:eastAsiaTheme="minorHAnsi"/>
          <w:lang w:eastAsia="en-US"/>
        </w:rPr>
        <w:footnoteReference w:id="32"/>
      </w:r>
      <w:r w:rsidR="00717973" w:rsidRPr="00F0074A">
        <w:rPr>
          <w:rFonts w:eastAsiaTheme="minorHAnsi"/>
          <w:lang w:eastAsia="en-US"/>
        </w:rPr>
        <w:t xml:space="preserve"> y que el concepto de plazo razonable debía quedar sujeto a la gravedad de la infracción</w:t>
      </w:r>
      <w:r w:rsidR="00717973" w:rsidRPr="00F0074A">
        <w:rPr>
          <w:rStyle w:val="Refdenotaalpie"/>
          <w:rFonts w:eastAsiaTheme="minorHAnsi"/>
          <w:lang w:eastAsia="en-US"/>
        </w:rPr>
        <w:footnoteReference w:id="33"/>
      </w:r>
      <w:r w:rsidR="00404F63" w:rsidRPr="00F0074A">
        <w:rPr>
          <w:rFonts w:eastAsiaTheme="minorHAnsi"/>
          <w:lang w:eastAsia="en-US"/>
        </w:rPr>
        <w:t>.</w:t>
      </w:r>
      <w:r w:rsidR="007446EE" w:rsidRPr="00F0074A">
        <w:rPr>
          <w:rFonts w:eastAsiaTheme="minorHAnsi"/>
          <w:lang w:eastAsia="en-US"/>
        </w:rPr>
        <w:t xml:space="preserve"> </w:t>
      </w:r>
    </w:p>
    <w:p w14:paraId="7AD1BA48" w14:textId="77777777" w:rsidR="00BF590B" w:rsidRPr="00F0074A" w:rsidRDefault="00BF590B" w:rsidP="00E06F63">
      <w:pPr>
        <w:widowControl/>
        <w:autoSpaceDE w:val="0"/>
        <w:autoSpaceDN w:val="0"/>
        <w:spacing w:line="240" w:lineRule="auto"/>
        <w:textAlignment w:val="auto"/>
      </w:pPr>
    </w:p>
    <w:p w14:paraId="5AE4491A" w14:textId="7668D552" w:rsidR="00BF590B" w:rsidRPr="00F0074A" w:rsidRDefault="00BF590B" w:rsidP="00E06F63">
      <w:pPr>
        <w:numPr>
          <w:ilvl w:val="0"/>
          <w:numId w:val="11"/>
        </w:numPr>
        <w:tabs>
          <w:tab w:val="left" w:pos="567"/>
          <w:tab w:val="num" w:pos="1569"/>
          <w:tab w:val="num" w:pos="12305"/>
        </w:tabs>
        <w:spacing w:line="240" w:lineRule="auto"/>
        <w:ind w:left="0" w:firstLine="0"/>
      </w:pPr>
      <w:r w:rsidRPr="00F0074A">
        <w:t xml:space="preserve">El 24 de febrero de 1997 la Sala I de la Cámara Nacional de Casación Penal resolvió rechazar el recurso de inconstitucionalidad y confirmó la resolución </w:t>
      </w:r>
      <w:r w:rsidR="00B172AD" w:rsidRPr="00F0074A">
        <w:t>que denegaba</w:t>
      </w:r>
      <w:r w:rsidRPr="00F0074A">
        <w:t xml:space="preserve"> la excarcelación del señor Jenkins. La Sala I fundamentó su resolución </w:t>
      </w:r>
      <w:r w:rsidR="00642A2A" w:rsidRPr="00F0074A">
        <w:t>arguyendo que</w:t>
      </w:r>
      <w:r w:rsidRPr="00F0074A">
        <w:t xml:space="preserve"> la decisión recurrida </w:t>
      </w:r>
      <w:r w:rsidR="00B172AD" w:rsidRPr="00F0074A">
        <w:t xml:space="preserve">era </w:t>
      </w:r>
      <w:r w:rsidRPr="00F0074A">
        <w:t xml:space="preserve">equiparable a </w:t>
      </w:r>
      <w:r w:rsidR="00B172AD" w:rsidRPr="00F0074A">
        <w:t>otros casos en los que se había analizado una situación análoga, haciéndose í</w:t>
      </w:r>
      <w:r w:rsidRPr="00F0074A">
        <w:t xml:space="preserve">ntegra remisión a </w:t>
      </w:r>
      <w:r w:rsidR="00B172AD" w:rsidRPr="00F0074A">
        <w:t>los</w:t>
      </w:r>
      <w:r w:rsidRPr="00F0074A">
        <w:t xml:space="preserve"> fundamentos</w:t>
      </w:r>
      <w:r w:rsidR="007300AE">
        <w:t xml:space="preserve"> de estas</w:t>
      </w:r>
      <w:r w:rsidRPr="00F0074A">
        <w:rPr>
          <w:rStyle w:val="Refdenotaalpie"/>
        </w:rPr>
        <w:footnoteReference w:id="34"/>
      </w:r>
      <w:r w:rsidR="007300AE">
        <w:t>.</w:t>
      </w:r>
      <w:r w:rsidRPr="00F0074A">
        <w:t xml:space="preserve"> </w:t>
      </w:r>
    </w:p>
    <w:p w14:paraId="02D55F6A" w14:textId="77777777" w:rsidR="00BF590B" w:rsidRPr="00F0074A" w:rsidRDefault="00BF590B" w:rsidP="00E06F63">
      <w:pPr>
        <w:widowControl/>
        <w:autoSpaceDE w:val="0"/>
        <w:autoSpaceDN w:val="0"/>
        <w:spacing w:line="240" w:lineRule="auto"/>
        <w:textAlignment w:val="auto"/>
      </w:pPr>
    </w:p>
    <w:p w14:paraId="4EBA0760" w14:textId="77777777" w:rsidR="00BF590B" w:rsidRPr="00F0074A" w:rsidRDefault="00D17A76" w:rsidP="00E06F63">
      <w:pPr>
        <w:widowControl/>
        <w:numPr>
          <w:ilvl w:val="0"/>
          <w:numId w:val="11"/>
        </w:numPr>
        <w:tabs>
          <w:tab w:val="left" w:pos="567"/>
          <w:tab w:val="num" w:pos="1569"/>
          <w:tab w:val="num" w:pos="12305"/>
        </w:tabs>
        <w:autoSpaceDE w:val="0"/>
        <w:autoSpaceDN w:val="0"/>
        <w:spacing w:line="240" w:lineRule="auto"/>
        <w:ind w:left="0" w:firstLine="0"/>
        <w:textAlignment w:val="auto"/>
      </w:pPr>
      <w:r w:rsidRPr="00F0074A">
        <w:rPr>
          <w:rFonts w:eastAsiaTheme="minorHAnsi"/>
          <w:lang w:eastAsia="en-US"/>
        </w:rPr>
        <w:t>El 28 de febrero de 1997</w:t>
      </w:r>
      <w:r w:rsidR="00B172AD" w:rsidRPr="00F0074A">
        <w:rPr>
          <w:rFonts w:eastAsiaTheme="minorHAnsi"/>
          <w:lang w:eastAsia="en-US"/>
        </w:rPr>
        <w:t xml:space="preserve"> la defensa del señor Jenkins</w:t>
      </w:r>
      <w:r w:rsidR="00BF590B" w:rsidRPr="00F0074A">
        <w:rPr>
          <w:rFonts w:eastAsiaTheme="minorHAnsi"/>
          <w:lang w:eastAsia="en-US"/>
        </w:rPr>
        <w:t xml:space="preserve"> interpuso un recurso extraordinario contra la resolución de la </w:t>
      </w:r>
      <w:r w:rsidR="00BF590B" w:rsidRPr="00F0074A">
        <w:t>Sala I de la Cámara Nacional de Casación Penal</w:t>
      </w:r>
      <w:r w:rsidR="00BF590B" w:rsidRPr="00F0074A">
        <w:rPr>
          <w:rFonts w:eastAsiaTheme="minorHAnsi"/>
          <w:lang w:eastAsia="en-US"/>
        </w:rPr>
        <w:t xml:space="preserve"> que denegó el </w:t>
      </w:r>
      <w:r w:rsidR="00BF590B" w:rsidRPr="00F0074A">
        <w:rPr>
          <w:rFonts w:eastAsia="Calibri"/>
        </w:rPr>
        <w:t>recurso</w:t>
      </w:r>
      <w:r w:rsidRPr="00F0074A">
        <w:rPr>
          <w:rFonts w:eastAsiaTheme="minorHAnsi"/>
          <w:lang w:eastAsia="en-US"/>
        </w:rPr>
        <w:t xml:space="preserve"> de inconstitucionalidad</w:t>
      </w:r>
      <w:r w:rsidR="00B172AD" w:rsidRPr="00F0074A">
        <w:rPr>
          <w:rStyle w:val="Refdenotaalpie"/>
          <w:rFonts w:eastAsiaTheme="minorHAnsi"/>
          <w:lang w:eastAsia="en-US"/>
        </w:rPr>
        <w:footnoteReference w:id="35"/>
      </w:r>
      <w:r w:rsidRPr="00F0074A">
        <w:rPr>
          <w:rFonts w:eastAsiaTheme="minorHAnsi"/>
          <w:lang w:eastAsia="en-US"/>
        </w:rPr>
        <w:t>.</w:t>
      </w:r>
      <w:r w:rsidR="00B92C19" w:rsidRPr="00F0074A">
        <w:rPr>
          <w:rFonts w:eastAsiaTheme="minorHAnsi"/>
          <w:lang w:eastAsia="en-US"/>
        </w:rPr>
        <w:t xml:space="preserve"> </w:t>
      </w:r>
      <w:r w:rsidR="00BF590B" w:rsidRPr="00F0074A">
        <w:t xml:space="preserve">El 10 de abril de 1997 </w:t>
      </w:r>
      <w:r w:rsidR="00BF590B" w:rsidRPr="00F0074A">
        <w:rPr>
          <w:rFonts w:eastAsiaTheme="minorHAnsi"/>
          <w:lang w:eastAsia="en-US"/>
        </w:rPr>
        <w:t xml:space="preserve">la Cámara Nacional de Casación Penal declaró inadmisible el recurso </w:t>
      </w:r>
      <w:r w:rsidR="00BF590B" w:rsidRPr="00F0074A">
        <w:rPr>
          <w:rFonts w:eastAsia="Calibri"/>
        </w:rPr>
        <w:t>extraordinario</w:t>
      </w:r>
      <w:r w:rsidR="00BF590B" w:rsidRPr="00F0074A">
        <w:rPr>
          <w:rFonts w:eastAsiaTheme="minorHAnsi"/>
          <w:lang w:eastAsia="en-US"/>
        </w:rPr>
        <w:t xml:space="preserve"> interpuesto por la defensa del señor Jenkins debido a que el tema traído a conocimiento de dicha Cámara “ya </w:t>
      </w:r>
      <w:r w:rsidR="00B92C19" w:rsidRPr="00F0074A">
        <w:rPr>
          <w:rFonts w:eastAsiaTheme="minorHAnsi"/>
          <w:lang w:eastAsia="en-US"/>
        </w:rPr>
        <w:t>[había sido]</w:t>
      </w:r>
      <w:r w:rsidR="00BF590B" w:rsidRPr="00F0074A">
        <w:rPr>
          <w:rFonts w:eastAsiaTheme="minorHAnsi"/>
          <w:lang w:eastAsia="en-US"/>
        </w:rPr>
        <w:t xml:space="preserve"> decidido por la Corte Suprema en el precedente ‘Arana’, y por este Tribunal en la causa ‘Gerez’, y de que los argumentos expuestos en el mencionado recurso no conmovían la doctrina </w:t>
      </w:r>
      <w:r w:rsidR="00BF590B" w:rsidRPr="00F0074A">
        <w:t>sentada</w:t>
      </w:r>
      <w:r w:rsidR="00BF590B" w:rsidRPr="00F0074A">
        <w:rPr>
          <w:rFonts w:eastAsiaTheme="minorHAnsi"/>
          <w:lang w:eastAsia="en-US"/>
        </w:rPr>
        <w:t xml:space="preserve"> en tales fallos, el tratamiento del agravio devenía innecesario </w:t>
      </w:r>
      <w:r w:rsidR="00B92C19" w:rsidRPr="00F0074A">
        <w:rPr>
          <w:rFonts w:eastAsiaTheme="minorHAnsi"/>
          <w:lang w:eastAsia="en-US"/>
        </w:rPr>
        <w:t>[…], y el recurrente no aduc[ía]</w:t>
      </w:r>
      <w:r w:rsidR="00BF590B" w:rsidRPr="00F0074A">
        <w:rPr>
          <w:rFonts w:eastAsiaTheme="minorHAnsi"/>
          <w:lang w:eastAsia="en-US"/>
        </w:rPr>
        <w:t xml:space="preserve"> razones que </w:t>
      </w:r>
      <w:r w:rsidR="00B92C19" w:rsidRPr="00F0074A">
        <w:rPr>
          <w:rFonts w:eastAsiaTheme="minorHAnsi"/>
          <w:lang w:eastAsia="en-US"/>
        </w:rPr>
        <w:t>p[usieran]</w:t>
      </w:r>
      <w:r w:rsidR="00BF590B" w:rsidRPr="00F0074A">
        <w:rPr>
          <w:rFonts w:eastAsiaTheme="minorHAnsi"/>
          <w:lang w:eastAsia="en-US"/>
        </w:rPr>
        <w:t xml:space="preserve"> en tela de juicio la aplicabilidad de tal pronunciamiento ni adelanta</w:t>
      </w:r>
      <w:r w:rsidR="00B92C19" w:rsidRPr="00F0074A">
        <w:rPr>
          <w:rFonts w:eastAsiaTheme="minorHAnsi"/>
          <w:lang w:eastAsia="en-US"/>
        </w:rPr>
        <w:t>[ba]</w:t>
      </w:r>
      <w:r w:rsidR="00BF590B" w:rsidRPr="00F0074A">
        <w:rPr>
          <w:rFonts w:eastAsiaTheme="minorHAnsi"/>
          <w:lang w:eastAsia="en-US"/>
        </w:rPr>
        <w:t xml:space="preserve"> nuevos argumentos que pu</w:t>
      </w:r>
      <w:r w:rsidR="00B92C19" w:rsidRPr="00F0074A">
        <w:rPr>
          <w:rFonts w:eastAsiaTheme="minorHAnsi"/>
          <w:lang w:eastAsia="en-US"/>
        </w:rPr>
        <w:t>[dieran]</w:t>
      </w:r>
      <w:r w:rsidR="00BF590B" w:rsidRPr="00F0074A">
        <w:rPr>
          <w:rFonts w:eastAsiaTheme="minorHAnsi"/>
          <w:lang w:eastAsia="en-US"/>
        </w:rPr>
        <w:t xml:space="preserve"> inducir a una modificación</w:t>
      </w:r>
      <w:r w:rsidR="00B92C19" w:rsidRPr="00F0074A">
        <w:rPr>
          <w:rFonts w:eastAsiaTheme="minorHAnsi"/>
          <w:lang w:eastAsia="en-US"/>
        </w:rPr>
        <w:t xml:space="preserve"> del criterio allí establecido</w:t>
      </w:r>
      <w:r w:rsidR="00BF590B" w:rsidRPr="00F0074A">
        <w:rPr>
          <w:rFonts w:eastAsiaTheme="minorHAnsi"/>
          <w:lang w:eastAsia="en-US"/>
        </w:rPr>
        <w:t>”</w:t>
      </w:r>
      <w:r w:rsidR="00BF590B" w:rsidRPr="00F0074A">
        <w:rPr>
          <w:rStyle w:val="Refdenotaalpie"/>
          <w:rFonts w:eastAsiaTheme="minorHAnsi"/>
          <w:lang w:eastAsia="en-US"/>
        </w:rPr>
        <w:footnoteReference w:id="36"/>
      </w:r>
      <w:r w:rsidR="00B92C19" w:rsidRPr="00F0074A">
        <w:rPr>
          <w:rFonts w:eastAsiaTheme="minorHAnsi"/>
          <w:lang w:eastAsia="en-US"/>
        </w:rPr>
        <w:t>.</w:t>
      </w:r>
      <w:r w:rsidR="004C6365" w:rsidRPr="00F0074A">
        <w:rPr>
          <w:rFonts w:eastAsiaTheme="minorHAnsi"/>
          <w:b/>
          <w:lang w:eastAsia="en-US"/>
        </w:rPr>
        <w:t xml:space="preserve"> </w:t>
      </w:r>
    </w:p>
    <w:p w14:paraId="1A012AC8" w14:textId="77777777" w:rsidR="000A0DA8" w:rsidRPr="000A0DA8" w:rsidRDefault="000A0DA8" w:rsidP="000A0DA8">
      <w:pPr>
        <w:tabs>
          <w:tab w:val="left" w:pos="567"/>
        </w:tabs>
        <w:spacing w:line="240" w:lineRule="auto"/>
        <w:rPr>
          <w:rFonts w:eastAsiaTheme="minorHAnsi"/>
          <w:lang w:eastAsia="en-US"/>
        </w:rPr>
      </w:pPr>
    </w:p>
    <w:p w14:paraId="5FC5196E" w14:textId="54F18046" w:rsidR="00BF590B" w:rsidRPr="00F0074A" w:rsidRDefault="005168A3" w:rsidP="00E06F63">
      <w:pPr>
        <w:numPr>
          <w:ilvl w:val="0"/>
          <w:numId w:val="11"/>
        </w:numPr>
        <w:tabs>
          <w:tab w:val="left" w:pos="567"/>
          <w:tab w:val="num" w:pos="1569"/>
          <w:tab w:val="num" w:pos="12305"/>
        </w:tabs>
        <w:spacing w:line="240" w:lineRule="auto"/>
        <w:ind w:left="0" w:firstLine="0"/>
        <w:rPr>
          <w:rFonts w:eastAsiaTheme="minorHAnsi"/>
          <w:lang w:eastAsia="en-US"/>
        </w:rPr>
      </w:pPr>
      <w:r w:rsidRPr="00F0074A">
        <w:t>El 28 de abril de 1997</w:t>
      </w:r>
      <w:r w:rsidR="00BF590B" w:rsidRPr="00F0074A">
        <w:t xml:space="preserve"> </w:t>
      </w:r>
      <w:r w:rsidRPr="00F0074A">
        <w:rPr>
          <w:rFonts w:eastAsiaTheme="minorHAnsi"/>
          <w:lang w:eastAsia="en-US"/>
        </w:rPr>
        <w:t>la defensa del señor Jenkins</w:t>
      </w:r>
      <w:r w:rsidR="00BF590B" w:rsidRPr="00F0074A">
        <w:rPr>
          <w:rFonts w:eastAsiaTheme="minorHAnsi"/>
          <w:lang w:eastAsia="en-US"/>
        </w:rPr>
        <w:t xml:space="preserve"> interpuso un recurso de queja por la denegación del recurso extraordinario</w:t>
      </w:r>
      <w:r w:rsidRPr="00F0074A">
        <w:rPr>
          <w:rFonts w:eastAsiaTheme="minorHAnsi"/>
          <w:lang w:eastAsia="en-US"/>
        </w:rPr>
        <w:t xml:space="preserve"> ante la Corte Suprema de Justicia de la Nación</w:t>
      </w:r>
      <w:r w:rsidR="00BF590B" w:rsidRPr="00F0074A">
        <w:rPr>
          <w:rStyle w:val="Refdenotaalpie"/>
          <w:rFonts w:eastAsiaTheme="minorHAnsi"/>
          <w:lang w:eastAsia="en-US"/>
        </w:rPr>
        <w:footnoteReference w:id="37"/>
      </w:r>
      <w:r w:rsidR="00717973" w:rsidRPr="00F0074A">
        <w:rPr>
          <w:rFonts w:eastAsiaTheme="minorHAnsi"/>
          <w:lang w:eastAsia="en-US"/>
        </w:rPr>
        <w:t xml:space="preserve"> en virtud del cual, entre otros, reiteraba la irrazonabilidad de las exclusiones realizadas por el artículo 10 de la Ley no. 24.390</w:t>
      </w:r>
      <w:r w:rsidR="00717973" w:rsidRPr="00F0074A">
        <w:rPr>
          <w:rStyle w:val="Refdenotaalpie"/>
          <w:rFonts w:eastAsiaTheme="minorHAnsi"/>
          <w:lang w:eastAsia="en-US"/>
        </w:rPr>
        <w:footnoteReference w:id="38"/>
      </w:r>
      <w:r w:rsidR="00BF590B" w:rsidRPr="00F0074A">
        <w:rPr>
          <w:rFonts w:eastAsiaTheme="minorHAnsi"/>
          <w:lang w:eastAsia="en-US"/>
        </w:rPr>
        <w:t>.</w:t>
      </w:r>
      <w:r w:rsidRPr="00F0074A">
        <w:rPr>
          <w:rFonts w:eastAsiaTheme="minorHAnsi"/>
          <w:lang w:eastAsia="en-US"/>
        </w:rPr>
        <w:t xml:space="preserve"> </w:t>
      </w:r>
      <w:r w:rsidR="00642A2A" w:rsidRPr="003F1249">
        <w:rPr>
          <w:rFonts w:eastAsiaTheme="minorHAnsi"/>
          <w:lang w:eastAsia="en-US"/>
        </w:rPr>
        <w:t>Asimismo, e</w:t>
      </w:r>
      <w:r w:rsidR="001A6BC7" w:rsidRPr="003F1249">
        <w:rPr>
          <w:rFonts w:eastAsiaTheme="minorHAnsi"/>
          <w:lang w:eastAsia="en-US"/>
        </w:rPr>
        <w:t>l 29 de abril de 1997 el señor Jenkins interpuso un recurso titulado “garantía de libertad” solicitando, entre otros, la excarcelación bajo caución</w:t>
      </w:r>
      <w:r w:rsidR="001A6BC7" w:rsidRPr="00F0074A">
        <w:rPr>
          <w:rStyle w:val="Refdenotaalpie"/>
          <w:rFonts w:eastAsiaTheme="minorHAnsi"/>
          <w:lang w:eastAsia="en-US"/>
        </w:rPr>
        <w:footnoteReference w:id="39"/>
      </w:r>
      <w:r w:rsidR="0093500F">
        <w:rPr>
          <w:rFonts w:eastAsiaTheme="minorHAnsi"/>
          <w:lang w:eastAsia="en-US"/>
        </w:rPr>
        <w:t xml:space="preserve">, el cual fue rechazado </w:t>
      </w:r>
      <w:r w:rsidR="0093500F">
        <w:rPr>
          <w:rFonts w:eastAsiaTheme="minorHAnsi"/>
          <w:lang w:eastAsia="en-US"/>
        </w:rPr>
        <w:lastRenderedPageBreak/>
        <w:t>el 14 de mayo de 1997</w:t>
      </w:r>
      <w:r w:rsidR="0093500F">
        <w:rPr>
          <w:rStyle w:val="Refdenotaalpie"/>
          <w:rFonts w:eastAsiaTheme="minorHAnsi"/>
          <w:lang w:eastAsia="en-US"/>
        </w:rPr>
        <w:footnoteReference w:id="40"/>
      </w:r>
      <w:r w:rsidR="001A6BC7" w:rsidRPr="00F0074A">
        <w:rPr>
          <w:rFonts w:eastAsiaTheme="minorHAnsi"/>
          <w:lang w:eastAsia="en-US"/>
        </w:rPr>
        <w:t xml:space="preserve">. </w:t>
      </w:r>
      <w:r w:rsidR="00642A2A" w:rsidRPr="00F0074A">
        <w:rPr>
          <w:rFonts w:eastAsiaTheme="minorHAnsi"/>
          <w:lang w:eastAsia="en-US"/>
        </w:rPr>
        <w:t>Por otro lado</w:t>
      </w:r>
      <w:r w:rsidRPr="00F0074A">
        <w:rPr>
          <w:rFonts w:eastAsiaTheme="minorHAnsi"/>
          <w:lang w:eastAsia="en-US"/>
        </w:rPr>
        <w:t>, e</w:t>
      </w:r>
      <w:r w:rsidR="00BF590B" w:rsidRPr="00F0074A">
        <w:rPr>
          <w:rFonts w:eastAsiaTheme="minorHAnsi"/>
          <w:lang w:eastAsia="en-US"/>
        </w:rPr>
        <w:t xml:space="preserve">l 27 de junio de 1997 el señor Jenkins interpuso una ampliación de recurso de queja ante la </w:t>
      </w:r>
      <w:r w:rsidR="001A6BC7" w:rsidRPr="00F0074A">
        <w:rPr>
          <w:rFonts w:eastAsiaTheme="minorHAnsi"/>
          <w:lang w:eastAsia="en-US"/>
        </w:rPr>
        <w:t>Corte Suprema de Justicia de la Nación</w:t>
      </w:r>
      <w:r w:rsidR="00BF590B" w:rsidRPr="00F0074A">
        <w:rPr>
          <w:rStyle w:val="Refdenotaalpie"/>
          <w:rFonts w:eastAsiaTheme="minorHAnsi"/>
          <w:lang w:eastAsia="en-US"/>
        </w:rPr>
        <w:footnoteReference w:id="41"/>
      </w:r>
      <w:r w:rsidR="00BF590B" w:rsidRPr="00F0074A">
        <w:rPr>
          <w:rFonts w:eastAsiaTheme="minorHAnsi"/>
          <w:lang w:eastAsia="en-US"/>
        </w:rPr>
        <w:t>.</w:t>
      </w:r>
      <w:r w:rsidR="005E031D" w:rsidRPr="00F0074A">
        <w:rPr>
          <w:rFonts w:eastAsiaTheme="minorHAnsi"/>
          <w:lang w:eastAsia="en-US"/>
        </w:rPr>
        <w:t xml:space="preserve"> </w:t>
      </w:r>
      <w:r w:rsidR="002D7F5D" w:rsidRPr="00F0074A">
        <w:rPr>
          <w:rFonts w:eastAsiaTheme="minorHAnsi"/>
          <w:lang w:eastAsia="en-US"/>
        </w:rPr>
        <w:t>El 25 de septiembre de 1997 la Corte Suprema de Justicia de la Nación desestimó el recurso</w:t>
      </w:r>
      <w:r w:rsidR="001A6BC7" w:rsidRPr="00F0074A">
        <w:rPr>
          <w:rFonts w:eastAsiaTheme="minorHAnsi"/>
          <w:lang w:eastAsia="en-US"/>
        </w:rPr>
        <w:t xml:space="preserve"> interpuesto</w:t>
      </w:r>
      <w:r w:rsidR="002D7F5D" w:rsidRPr="00F0074A">
        <w:rPr>
          <w:rStyle w:val="Refdenotaalpie"/>
          <w:rFonts w:eastAsiaTheme="minorHAnsi"/>
          <w:lang w:eastAsia="en-US"/>
        </w:rPr>
        <w:footnoteReference w:id="42"/>
      </w:r>
      <w:r w:rsidR="002D7F5D" w:rsidRPr="00F0074A">
        <w:rPr>
          <w:rFonts w:eastAsiaTheme="minorHAnsi"/>
          <w:lang w:eastAsia="en-US"/>
        </w:rPr>
        <w:t>.</w:t>
      </w:r>
      <w:r w:rsidR="007446EE" w:rsidRPr="00F0074A">
        <w:rPr>
          <w:rFonts w:eastAsiaTheme="minorHAnsi"/>
          <w:lang w:eastAsia="en-US"/>
        </w:rPr>
        <w:t xml:space="preserve"> </w:t>
      </w:r>
      <w:r w:rsidR="005E031D" w:rsidRPr="00F0074A">
        <w:rPr>
          <w:rFonts w:cs="Arial"/>
        </w:rPr>
        <w:t xml:space="preserve">El 27 de octubre de 1997 el señor Jenkins interpuso un recurso de revocatoria o reconsideración </w:t>
      </w:r>
      <w:r w:rsidR="005E031D" w:rsidRPr="00F0074A">
        <w:rPr>
          <w:rFonts w:cs="Arial"/>
          <w:i/>
        </w:rPr>
        <w:t>in extremis</w:t>
      </w:r>
      <w:r w:rsidR="005E031D" w:rsidRPr="00F0074A">
        <w:rPr>
          <w:rFonts w:cs="Arial"/>
        </w:rPr>
        <w:t xml:space="preserve"> contra la sentencia definitiva de 25 de se</w:t>
      </w:r>
      <w:r w:rsidR="003754B6">
        <w:rPr>
          <w:rFonts w:cs="Arial"/>
        </w:rPr>
        <w:t>p</w:t>
      </w:r>
      <w:r w:rsidR="005E031D" w:rsidRPr="00F0074A">
        <w:rPr>
          <w:rFonts w:cs="Arial"/>
        </w:rPr>
        <w:t>tiembre de 1997</w:t>
      </w:r>
      <w:r w:rsidR="001A6BC7" w:rsidRPr="00F0074A">
        <w:rPr>
          <w:rStyle w:val="Refdenotaalpie"/>
          <w:rFonts w:eastAsiaTheme="minorHAnsi"/>
          <w:lang w:eastAsia="en-US"/>
        </w:rPr>
        <w:footnoteReference w:id="43"/>
      </w:r>
      <w:r w:rsidR="005E031D" w:rsidRPr="00F0074A">
        <w:rPr>
          <w:rFonts w:cs="Arial"/>
        </w:rPr>
        <w:t xml:space="preserve">. </w:t>
      </w:r>
      <w:r w:rsidR="00BF590B" w:rsidRPr="00F0074A">
        <w:rPr>
          <w:rFonts w:eastAsiaTheme="minorHAnsi"/>
          <w:lang w:eastAsia="en-US"/>
        </w:rPr>
        <w:t>La Corte no tiene cono</w:t>
      </w:r>
      <w:r w:rsidR="005E031D" w:rsidRPr="00F0074A">
        <w:rPr>
          <w:rFonts w:eastAsiaTheme="minorHAnsi"/>
          <w:lang w:eastAsia="en-US"/>
        </w:rPr>
        <w:t>cimiento del resultado de dicho</w:t>
      </w:r>
      <w:r w:rsidR="00BF590B" w:rsidRPr="00F0074A">
        <w:rPr>
          <w:rFonts w:eastAsiaTheme="minorHAnsi"/>
          <w:lang w:eastAsia="en-US"/>
        </w:rPr>
        <w:t xml:space="preserve"> recurso</w:t>
      </w:r>
      <w:r w:rsidR="005E031D" w:rsidRPr="00F0074A">
        <w:rPr>
          <w:rFonts w:eastAsiaTheme="minorHAnsi"/>
          <w:lang w:eastAsia="en-US"/>
        </w:rPr>
        <w:t>.</w:t>
      </w:r>
    </w:p>
    <w:p w14:paraId="276D712C" w14:textId="77777777" w:rsidR="00BF590B" w:rsidRPr="00F0074A" w:rsidRDefault="00BF590B" w:rsidP="00E06F63">
      <w:pPr>
        <w:widowControl/>
        <w:autoSpaceDE w:val="0"/>
        <w:autoSpaceDN w:val="0"/>
        <w:spacing w:line="240" w:lineRule="auto"/>
        <w:textAlignment w:val="auto"/>
      </w:pPr>
    </w:p>
    <w:p w14:paraId="2C9B6127" w14:textId="18ED51EB" w:rsidR="00BF590B" w:rsidRPr="00F0074A" w:rsidRDefault="00BF590B" w:rsidP="00E06F63">
      <w:pPr>
        <w:numPr>
          <w:ilvl w:val="0"/>
          <w:numId w:val="11"/>
        </w:numPr>
        <w:tabs>
          <w:tab w:val="left" w:pos="567"/>
          <w:tab w:val="num" w:pos="1569"/>
          <w:tab w:val="num" w:pos="12305"/>
        </w:tabs>
        <w:spacing w:line="240" w:lineRule="auto"/>
        <w:ind w:left="0" w:firstLine="0"/>
        <w:rPr>
          <w:rFonts w:eastAsiaTheme="minorHAnsi"/>
          <w:lang w:eastAsia="en-US"/>
        </w:rPr>
      </w:pPr>
      <w:r w:rsidRPr="00F0074A">
        <w:rPr>
          <w:rFonts w:eastAsia="Calibri"/>
        </w:rPr>
        <w:t>Además</w:t>
      </w:r>
      <w:r w:rsidRPr="00F0074A">
        <w:t xml:space="preserve"> de los recursos mencionados anteriormente, la esposa del señor Jenkins, la señora Leticia Pironelli, presentó una queja ante el Defensor del Pueblo de la Ciudad de Buenos Aires “por la </w:t>
      </w:r>
      <w:r w:rsidRPr="00F0074A">
        <w:rPr>
          <w:rFonts w:eastAsiaTheme="minorHAnsi"/>
          <w:lang w:eastAsia="en-US"/>
        </w:rPr>
        <w:t>prolongada detención de su esposo, procesado en la causa No. 73 del registro del Tribunal Oral en lo Criminal Federal no. 6 de esta ciudad”</w:t>
      </w:r>
      <w:r w:rsidR="00333BAA" w:rsidRPr="00F0074A">
        <w:rPr>
          <w:rStyle w:val="Refdenotaalpie"/>
          <w:rFonts w:eastAsiaTheme="minorHAnsi"/>
          <w:lang w:eastAsia="en-US"/>
        </w:rPr>
        <w:footnoteReference w:id="44"/>
      </w:r>
      <w:r w:rsidRPr="00F0074A">
        <w:rPr>
          <w:rFonts w:eastAsiaTheme="minorHAnsi"/>
          <w:lang w:eastAsia="en-US"/>
        </w:rPr>
        <w:t xml:space="preserve">. </w:t>
      </w:r>
      <w:r w:rsidRPr="00F0074A">
        <w:t xml:space="preserve">El 23 de junio de 1997 </w:t>
      </w:r>
      <w:r w:rsidRPr="00F0074A">
        <w:rPr>
          <w:rFonts w:eastAsiaTheme="minorHAnsi"/>
          <w:lang w:eastAsia="en-US"/>
        </w:rPr>
        <w:t xml:space="preserve">el Defensor del Pueblo emitió su resolución respecto de la queja en la que decidió </w:t>
      </w:r>
      <w:r w:rsidR="00333BAA" w:rsidRPr="00F0074A">
        <w:rPr>
          <w:rFonts w:eastAsiaTheme="minorHAnsi"/>
          <w:lang w:eastAsia="en-US"/>
        </w:rPr>
        <w:t>“</w:t>
      </w:r>
      <w:r w:rsidRPr="00F0074A">
        <w:rPr>
          <w:rFonts w:eastAsiaTheme="minorHAnsi"/>
          <w:lang w:eastAsia="en-US"/>
        </w:rPr>
        <w:t xml:space="preserve">exhortar al Tribunal Oral en lo Criminal Federal no. 6 de la Capital Federal a disponer la soltura, bajo la caución que se estime oportuna, de </w:t>
      </w:r>
      <w:r w:rsidR="00CF46EB">
        <w:rPr>
          <w:rFonts w:eastAsiaTheme="minorHAnsi"/>
          <w:lang w:eastAsia="en-US"/>
        </w:rPr>
        <w:t xml:space="preserve">Gabriel Óscar Jenkins </w:t>
      </w:r>
      <w:r w:rsidRPr="00F0074A">
        <w:rPr>
          <w:rFonts w:eastAsiaTheme="minorHAnsi"/>
          <w:lang w:eastAsia="en-US"/>
        </w:rPr>
        <w:t xml:space="preserve">y de </w:t>
      </w:r>
      <w:r w:rsidRPr="00F0074A">
        <w:t>quienes</w:t>
      </w:r>
      <w:r w:rsidRPr="00F0074A">
        <w:rPr>
          <w:rFonts w:eastAsiaTheme="minorHAnsi"/>
          <w:lang w:eastAsia="en-US"/>
        </w:rPr>
        <w:t xml:space="preserve"> como él no haya podido juzgar dentro de un plazo razonable, poniendo fin así a su actual privación de libertad en condiciones de hacinamiento inhumano en un establecimiento carcelario edificado inicialmente para alojar a contraventores o a personas sometidas a un proceso legal de duración razonable”</w:t>
      </w:r>
      <w:r w:rsidR="00333BAA" w:rsidRPr="00F0074A">
        <w:rPr>
          <w:rStyle w:val="Refdenotaalpie"/>
          <w:rFonts w:eastAsiaTheme="minorHAnsi"/>
          <w:lang w:eastAsia="en-US"/>
        </w:rPr>
        <w:footnoteReference w:id="45"/>
      </w:r>
      <w:r w:rsidRPr="00F0074A">
        <w:t xml:space="preserve">. </w:t>
      </w:r>
    </w:p>
    <w:p w14:paraId="5FEAE989" w14:textId="77777777" w:rsidR="008721E0" w:rsidRPr="00F0074A" w:rsidRDefault="008721E0" w:rsidP="00E06F63">
      <w:pPr>
        <w:pStyle w:val="Ttulo3"/>
      </w:pPr>
      <w:bookmarkStart w:id="55" w:name="_Toc27405420"/>
      <w:r w:rsidRPr="00F0074A">
        <w:t>a.3 Absolución del señor Jenkins</w:t>
      </w:r>
      <w:bookmarkEnd w:id="55"/>
      <w:r w:rsidRPr="00F0074A">
        <w:t xml:space="preserve"> </w:t>
      </w:r>
    </w:p>
    <w:p w14:paraId="520E1AD7" w14:textId="18D29C72" w:rsidR="00BF590B" w:rsidRPr="00F0074A" w:rsidRDefault="00734219" w:rsidP="00E06F63">
      <w:pPr>
        <w:numPr>
          <w:ilvl w:val="0"/>
          <w:numId w:val="11"/>
        </w:numPr>
        <w:tabs>
          <w:tab w:val="left" w:pos="567"/>
          <w:tab w:val="num" w:pos="1569"/>
          <w:tab w:val="num" w:pos="12305"/>
        </w:tabs>
        <w:spacing w:line="240" w:lineRule="auto"/>
        <w:ind w:left="0" w:firstLine="0"/>
        <w:rPr>
          <w:rFonts w:eastAsia="Calibri"/>
        </w:rPr>
      </w:pPr>
      <w:r>
        <w:t>El 19 de noviembre de 1997, e</w:t>
      </w:r>
      <w:r w:rsidR="00BF590B" w:rsidRPr="00F0074A">
        <w:t xml:space="preserve">n </w:t>
      </w:r>
      <w:r w:rsidR="0065543C" w:rsidRPr="00F0074A">
        <w:t>el marco de la</w:t>
      </w:r>
      <w:r w:rsidR="00BF590B" w:rsidRPr="00F0074A">
        <w:t xml:space="preserve"> audiencia de debate</w:t>
      </w:r>
      <w:r w:rsidR="0065543C" w:rsidRPr="00F0074A">
        <w:t xml:space="preserve"> del procedimiento penal seguido contra el señor Jenkins y otros imputados</w:t>
      </w:r>
      <w:r w:rsidR="00BF590B" w:rsidRPr="00F0074A">
        <w:t xml:space="preserve">, el </w:t>
      </w:r>
      <w:r w:rsidR="0065543C" w:rsidRPr="00F0074A">
        <w:t>fiscal</w:t>
      </w:r>
      <w:r w:rsidR="00BF590B" w:rsidRPr="00F0074A">
        <w:t xml:space="preserve"> solicitó la absolución de culpa y cargo por el delito por el que fue acusado</w:t>
      </w:r>
      <w:r w:rsidR="0065543C" w:rsidRPr="00F0074A">
        <w:t>,</w:t>
      </w:r>
      <w:r w:rsidR="00BF590B" w:rsidRPr="00F0074A">
        <w:t xml:space="preserve"> por considerar insuficientes los elementos de prueba colectados respecto del señor Jenkins</w:t>
      </w:r>
      <w:r w:rsidR="00BF590B" w:rsidRPr="00F0074A">
        <w:rPr>
          <w:rStyle w:val="Refdenotaalpie"/>
        </w:rPr>
        <w:footnoteReference w:id="46"/>
      </w:r>
      <w:r w:rsidR="00BF590B" w:rsidRPr="00F0074A">
        <w:t xml:space="preserve">. </w:t>
      </w:r>
      <w:r>
        <w:t>Ese mismo día</w:t>
      </w:r>
      <w:r w:rsidR="00BF590B" w:rsidRPr="00F0074A">
        <w:t xml:space="preserve"> el Tribunal </w:t>
      </w:r>
      <w:r w:rsidR="00BF590B" w:rsidRPr="00F0074A">
        <w:rPr>
          <w:rFonts w:eastAsia="Calibri"/>
        </w:rPr>
        <w:t>Oral</w:t>
      </w:r>
      <w:r w:rsidR="00BF590B" w:rsidRPr="00F0074A">
        <w:t xml:space="preserve"> en lo Criminal Federal resolvió disponer la libertad inmediata del señor Jenkins por no existir mérito para que </w:t>
      </w:r>
      <w:r w:rsidR="0065543C" w:rsidRPr="00F0074A">
        <w:t>continuara</w:t>
      </w:r>
      <w:r w:rsidR="00BF590B" w:rsidRPr="00F0074A">
        <w:t xml:space="preserve"> detenido</w:t>
      </w:r>
      <w:r w:rsidR="00BF590B" w:rsidRPr="00F0074A">
        <w:rPr>
          <w:rStyle w:val="Refdenotaalpie"/>
        </w:rPr>
        <w:footnoteReference w:id="47"/>
      </w:r>
      <w:r w:rsidR="002D7F5D" w:rsidRPr="00F0074A">
        <w:t>.</w:t>
      </w:r>
      <w:r w:rsidR="004C6365" w:rsidRPr="00F0074A">
        <w:t xml:space="preserve"> </w:t>
      </w:r>
    </w:p>
    <w:p w14:paraId="02287D6E" w14:textId="7843A26C" w:rsidR="00755067" w:rsidRPr="00F0074A" w:rsidRDefault="00755067" w:rsidP="00E06F63">
      <w:pPr>
        <w:pStyle w:val="Ttulo3"/>
      </w:pPr>
      <w:bookmarkStart w:id="56" w:name="_Toc27405421"/>
      <w:r w:rsidRPr="00F0074A">
        <w:t xml:space="preserve">a.4 </w:t>
      </w:r>
      <w:r w:rsidR="00537440">
        <w:t>Sentencia de 15 de junio de 2010 de la Corte Suprema de Justicia</w:t>
      </w:r>
      <w:bookmarkEnd w:id="56"/>
    </w:p>
    <w:p w14:paraId="666097D6" w14:textId="3ABDE22B" w:rsidR="00BF590B" w:rsidRPr="007523D7" w:rsidRDefault="00BF590B" w:rsidP="00127CF0">
      <w:pPr>
        <w:widowControl/>
        <w:numPr>
          <w:ilvl w:val="0"/>
          <w:numId w:val="11"/>
        </w:numPr>
        <w:tabs>
          <w:tab w:val="left" w:pos="567"/>
          <w:tab w:val="num" w:pos="1569"/>
          <w:tab w:val="num" w:pos="12305"/>
        </w:tabs>
        <w:autoSpaceDE w:val="0"/>
        <w:autoSpaceDN w:val="0"/>
        <w:adjustRightInd/>
        <w:spacing w:line="240" w:lineRule="auto"/>
        <w:ind w:left="0" w:right="-90" w:firstLine="0"/>
        <w:textAlignment w:val="auto"/>
        <w:rPr>
          <w:rFonts w:eastAsia="Calibri"/>
        </w:rPr>
      </w:pPr>
      <w:r w:rsidRPr="007523D7">
        <w:rPr>
          <w:rFonts w:eastAsia="Calibri"/>
        </w:rPr>
        <w:t>El 15 de junio de 2010 la Corte Suprema de Justicia de la Nación emitió una sentencia</w:t>
      </w:r>
      <w:r w:rsidRPr="00F0074A">
        <w:t xml:space="preserve"> en la </w:t>
      </w:r>
      <w:r w:rsidRPr="007523D7">
        <w:rPr>
          <w:rFonts w:eastAsia="Calibri"/>
        </w:rPr>
        <w:t xml:space="preserve">causa No. 5640 en virtud de la cual </w:t>
      </w:r>
      <w:r w:rsidR="00A844A4" w:rsidRPr="007523D7">
        <w:rPr>
          <w:rFonts w:eastAsia="Calibri"/>
        </w:rPr>
        <w:t xml:space="preserve">dispuso la inconstitucionalidad del artículo 10 de la Ley </w:t>
      </w:r>
      <w:r w:rsidR="002C0A4A">
        <w:rPr>
          <w:rFonts w:eastAsia="Calibri"/>
        </w:rPr>
        <w:t xml:space="preserve">No. </w:t>
      </w:r>
      <w:r w:rsidR="00A844A4" w:rsidRPr="007523D7">
        <w:rPr>
          <w:rFonts w:eastAsia="Calibri"/>
        </w:rPr>
        <w:t xml:space="preserve">24.390 debido a </w:t>
      </w:r>
      <w:r w:rsidR="00755067" w:rsidRPr="007523D7">
        <w:rPr>
          <w:rFonts w:eastAsia="Calibri"/>
        </w:rPr>
        <w:t>que violaba</w:t>
      </w:r>
      <w:r w:rsidR="00A844A4" w:rsidRPr="007523D7">
        <w:rPr>
          <w:rFonts w:eastAsia="Calibri"/>
        </w:rPr>
        <w:t xml:space="preserve"> principios como la presunción de inocencia, </w:t>
      </w:r>
      <w:r w:rsidR="00316587">
        <w:rPr>
          <w:rFonts w:eastAsia="Calibri"/>
        </w:rPr>
        <w:t xml:space="preserve">la libertad personal, </w:t>
      </w:r>
      <w:r w:rsidR="00A844A4" w:rsidRPr="007523D7">
        <w:rPr>
          <w:rFonts w:eastAsia="Calibri"/>
        </w:rPr>
        <w:t xml:space="preserve">la igualdad y </w:t>
      </w:r>
      <w:r w:rsidR="00316587">
        <w:rPr>
          <w:rFonts w:eastAsia="Calibri"/>
        </w:rPr>
        <w:t>el plazo razonable de duración del proceso</w:t>
      </w:r>
      <w:r w:rsidR="007523D7" w:rsidRPr="00F0074A">
        <w:rPr>
          <w:rStyle w:val="Refdenotaalpie"/>
          <w:rFonts w:cs="TTE2C93658t00"/>
          <w:color w:val="010101"/>
        </w:rPr>
        <w:footnoteReference w:id="48"/>
      </w:r>
      <w:r w:rsidRPr="007523D7">
        <w:rPr>
          <w:rFonts w:eastAsia="Calibri"/>
        </w:rPr>
        <w:t xml:space="preserve">. </w:t>
      </w:r>
    </w:p>
    <w:p w14:paraId="22ADD366" w14:textId="51189DEA" w:rsidR="008721E0" w:rsidRPr="00F0074A" w:rsidRDefault="00390E2D" w:rsidP="00E06F63">
      <w:pPr>
        <w:pStyle w:val="Ttulo2"/>
        <w:numPr>
          <w:ilvl w:val="0"/>
          <w:numId w:val="18"/>
        </w:numPr>
        <w:ind w:left="1152" w:hanging="590"/>
      </w:pPr>
      <w:r>
        <w:lastRenderedPageBreak/>
        <w:t xml:space="preserve"> </w:t>
      </w:r>
      <w:bookmarkStart w:id="57" w:name="_Toc27405422"/>
      <w:r w:rsidR="00BF590B" w:rsidRPr="00F0074A">
        <w:t>El proceso de acción civil de daños y perjuicios promovido por el señor Jenkins</w:t>
      </w:r>
      <w:bookmarkEnd w:id="57"/>
    </w:p>
    <w:p w14:paraId="0193B4B1" w14:textId="302CBEEC" w:rsidR="00BF590B" w:rsidRPr="00F0074A" w:rsidRDefault="00BF590B" w:rsidP="00324FD8">
      <w:pPr>
        <w:pStyle w:val="Ttulo3"/>
      </w:pPr>
      <w:bookmarkStart w:id="58" w:name="_Toc27405423"/>
      <w:r w:rsidRPr="00F0074A">
        <w:t>b.1 Acción por daños y perjuicio</w:t>
      </w:r>
      <w:r w:rsidR="00A905B0">
        <w:t>s</w:t>
      </w:r>
      <w:bookmarkEnd w:id="58"/>
      <w:r w:rsidRPr="00F0074A">
        <w:t xml:space="preserve"> </w:t>
      </w:r>
    </w:p>
    <w:p w14:paraId="1A87AC77" w14:textId="77777777" w:rsidR="00B91B89" w:rsidRPr="00F0074A" w:rsidRDefault="00BF590B" w:rsidP="00E06F63">
      <w:pPr>
        <w:numPr>
          <w:ilvl w:val="0"/>
          <w:numId w:val="11"/>
        </w:numPr>
        <w:tabs>
          <w:tab w:val="left" w:pos="567"/>
          <w:tab w:val="num" w:pos="1569"/>
          <w:tab w:val="num" w:pos="12305"/>
        </w:tabs>
        <w:spacing w:line="240" w:lineRule="auto"/>
        <w:ind w:left="0" w:firstLine="0"/>
        <w:rPr>
          <w:rFonts w:eastAsiaTheme="minorHAnsi" w:cs="Arial"/>
          <w:lang w:eastAsia="en-US"/>
        </w:rPr>
      </w:pPr>
      <w:r w:rsidRPr="00F0074A">
        <w:rPr>
          <w:rFonts w:eastAsiaTheme="minorHAnsi"/>
          <w:lang w:eastAsia="en-US"/>
        </w:rPr>
        <w:t xml:space="preserve">El 27 diciembre de 1999 el señor Jenkins presentó una demanda por daños </w:t>
      </w:r>
      <w:r w:rsidRPr="00F0074A">
        <w:rPr>
          <w:rFonts w:eastAsiaTheme="minorHAnsi" w:cs="Arial"/>
          <w:iCs/>
          <w:lang w:eastAsia="en-US"/>
        </w:rPr>
        <w:t xml:space="preserve">y </w:t>
      </w:r>
      <w:r w:rsidRPr="00F0074A">
        <w:rPr>
          <w:rFonts w:eastAsiaTheme="minorHAnsi"/>
          <w:lang w:eastAsia="en-US"/>
        </w:rPr>
        <w:t xml:space="preserve">perjuicios contra el Estado </w:t>
      </w:r>
      <w:r w:rsidRPr="00F0074A">
        <w:rPr>
          <w:rFonts w:eastAsiaTheme="minorHAnsi" w:cs="Arial"/>
          <w:lang w:eastAsia="en-US"/>
        </w:rPr>
        <w:t xml:space="preserve">y </w:t>
      </w:r>
      <w:r w:rsidR="00B91B89" w:rsidRPr="00F0074A">
        <w:rPr>
          <w:rFonts w:eastAsiaTheme="minorHAnsi" w:cs="Arial"/>
          <w:lang w:eastAsia="en-US"/>
        </w:rPr>
        <w:t xml:space="preserve">en </w:t>
      </w:r>
      <w:r w:rsidRPr="00F0074A">
        <w:rPr>
          <w:rFonts w:eastAsiaTheme="minorHAnsi"/>
          <w:lang w:eastAsia="en-US"/>
        </w:rPr>
        <w:t xml:space="preserve">contra </w:t>
      </w:r>
      <w:r w:rsidR="00B91B89" w:rsidRPr="00F0074A">
        <w:rPr>
          <w:rFonts w:eastAsiaTheme="minorHAnsi"/>
          <w:lang w:eastAsia="en-US"/>
        </w:rPr>
        <w:t>d</w:t>
      </w:r>
      <w:r w:rsidRPr="00F0074A">
        <w:rPr>
          <w:rFonts w:eastAsiaTheme="minorHAnsi"/>
          <w:lang w:eastAsia="en-US"/>
        </w:rPr>
        <w:t>e</w:t>
      </w:r>
      <w:r w:rsidR="00B91B89" w:rsidRPr="00F0074A">
        <w:rPr>
          <w:rFonts w:eastAsiaTheme="minorHAnsi"/>
          <w:lang w:eastAsia="en-US"/>
        </w:rPr>
        <w:t xml:space="preserve">l juez que ordenó su detención </w:t>
      </w:r>
      <w:r w:rsidRPr="00F0074A">
        <w:rPr>
          <w:rFonts w:eastAsiaTheme="minorHAnsi"/>
          <w:lang w:eastAsia="en-US"/>
        </w:rPr>
        <w:t xml:space="preserve">por la suma de un millón ochocientos </w:t>
      </w:r>
      <w:r w:rsidRPr="00F0074A">
        <w:t>cincuenta</w:t>
      </w:r>
      <w:r w:rsidR="00324FD8" w:rsidRPr="00F0074A">
        <w:rPr>
          <w:rFonts w:eastAsiaTheme="minorHAnsi"/>
          <w:lang w:eastAsia="en-US"/>
        </w:rPr>
        <w:t xml:space="preserve"> mil pesos</w:t>
      </w:r>
      <w:r w:rsidR="00B91B89" w:rsidRPr="00F0074A">
        <w:rPr>
          <w:rStyle w:val="Refdenotaalpie"/>
          <w:rFonts w:eastAsiaTheme="minorHAnsi"/>
          <w:lang w:eastAsia="en-US"/>
        </w:rPr>
        <w:footnoteReference w:id="49"/>
      </w:r>
      <w:r w:rsidR="00B91B89" w:rsidRPr="00F0074A">
        <w:rPr>
          <w:rFonts w:eastAsiaTheme="minorHAnsi"/>
          <w:lang w:eastAsia="en-US"/>
        </w:rPr>
        <w:t xml:space="preserve">. La demanda </w:t>
      </w:r>
      <w:r w:rsidRPr="00F0074A">
        <w:rPr>
          <w:rFonts w:eastAsiaTheme="minorHAnsi"/>
          <w:lang w:eastAsia="en-US"/>
        </w:rPr>
        <w:t>se tramitó ante la Jueza Federal de Primera instancia en lo Contencioso</w:t>
      </w:r>
      <w:r w:rsidR="00B91B89" w:rsidRPr="00F0074A">
        <w:rPr>
          <w:rFonts w:eastAsiaTheme="minorHAnsi"/>
          <w:lang w:eastAsia="en-US"/>
        </w:rPr>
        <w:t xml:space="preserve"> </w:t>
      </w:r>
      <w:r w:rsidRPr="00F0074A">
        <w:rPr>
          <w:rFonts w:eastAsiaTheme="minorHAnsi"/>
          <w:lang w:eastAsia="en-US"/>
        </w:rPr>
        <w:t>Administrativo No. 10</w:t>
      </w:r>
      <w:r w:rsidR="00B91B89" w:rsidRPr="00F0074A">
        <w:rPr>
          <w:rStyle w:val="Refdenotaalpie"/>
          <w:rFonts w:eastAsiaTheme="minorHAnsi"/>
          <w:lang w:eastAsia="en-US"/>
        </w:rPr>
        <w:footnoteReference w:id="50"/>
      </w:r>
      <w:r w:rsidRPr="00F0074A">
        <w:rPr>
          <w:rFonts w:eastAsiaTheme="minorHAnsi"/>
          <w:lang w:eastAsia="en-US"/>
        </w:rPr>
        <w:t xml:space="preserve">. </w:t>
      </w:r>
    </w:p>
    <w:p w14:paraId="61F0139E" w14:textId="77777777" w:rsidR="00B91B89" w:rsidRPr="00F0074A" w:rsidRDefault="00B91B89" w:rsidP="00E06F63">
      <w:pPr>
        <w:tabs>
          <w:tab w:val="left" w:pos="567"/>
        </w:tabs>
        <w:spacing w:line="240" w:lineRule="auto"/>
        <w:rPr>
          <w:rFonts w:eastAsiaTheme="minorHAnsi" w:cs="Arial"/>
          <w:lang w:eastAsia="en-US"/>
        </w:rPr>
      </w:pPr>
    </w:p>
    <w:p w14:paraId="522D7731" w14:textId="1760F2BE" w:rsidR="00BF590B" w:rsidRPr="00F0074A" w:rsidRDefault="00BF590B" w:rsidP="00E06F63">
      <w:pPr>
        <w:widowControl/>
        <w:numPr>
          <w:ilvl w:val="0"/>
          <w:numId w:val="11"/>
        </w:numPr>
        <w:tabs>
          <w:tab w:val="left" w:pos="567"/>
          <w:tab w:val="num" w:pos="1569"/>
          <w:tab w:val="num" w:pos="12305"/>
        </w:tabs>
        <w:autoSpaceDE w:val="0"/>
        <w:autoSpaceDN w:val="0"/>
        <w:spacing w:line="240" w:lineRule="auto"/>
        <w:ind w:left="0" w:firstLine="0"/>
        <w:textAlignment w:val="auto"/>
        <w:rPr>
          <w:rFonts w:eastAsiaTheme="minorHAnsi"/>
          <w:lang w:eastAsia="en-US"/>
        </w:rPr>
      </w:pPr>
      <w:r w:rsidRPr="00F0074A">
        <w:rPr>
          <w:rFonts w:eastAsiaTheme="minorHAnsi"/>
          <w:lang w:eastAsia="en-US"/>
        </w:rPr>
        <w:t xml:space="preserve">El 8 de junio de 2000 la demanda de daños </w:t>
      </w:r>
      <w:r w:rsidRPr="00F0074A">
        <w:rPr>
          <w:rFonts w:eastAsiaTheme="minorHAnsi" w:cs="Arial"/>
          <w:iCs/>
          <w:lang w:eastAsia="en-US"/>
        </w:rPr>
        <w:t xml:space="preserve">y </w:t>
      </w:r>
      <w:r w:rsidRPr="00F0074A">
        <w:rPr>
          <w:rFonts w:eastAsiaTheme="minorHAnsi"/>
          <w:lang w:eastAsia="en-US"/>
        </w:rPr>
        <w:t xml:space="preserve">perjuicios fue parcialmente rechazada al acogerse la excepción de falta de legitimación para ser demandado interpuesta </w:t>
      </w:r>
      <w:r w:rsidR="000149F8">
        <w:rPr>
          <w:rFonts w:eastAsiaTheme="minorHAnsi"/>
          <w:lang w:eastAsia="en-US"/>
        </w:rPr>
        <w:t>contra</w:t>
      </w:r>
      <w:r w:rsidRPr="00F0074A">
        <w:rPr>
          <w:rFonts w:eastAsiaTheme="minorHAnsi"/>
          <w:lang w:eastAsia="en-US"/>
        </w:rPr>
        <w:t xml:space="preserve"> el juez de instrucción, por no haberse solicitado </w:t>
      </w:r>
      <w:r w:rsidRPr="00F0074A">
        <w:t>previamente</w:t>
      </w:r>
      <w:r w:rsidRPr="00F0074A">
        <w:rPr>
          <w:rFonts w:eastAsiaTheme="minorHAnsi"/>
          <w:lang w:eastAsia="en-US"/>
        </w:rPr>
        <w:t xml:space="preserve"> su desafuero según lo disponían los artículos 115 </w:t>
      </w:r>
      <w:r w:rsidRPr="00F0074A">
        <w:rPr>
          <w:rFonts w:eastAsiaTheme="minorHAnsi" w:cs="Arial"/>
          <w:iCs/>
          <w:lang w:eastAsia="en-US"/>
        </w:rPr>
        <w:t xml:space="preserve">y </w:t>
      </w:r>
      <w:r w:rsidRPr="00F0074A">
        <w:rPr>
          <w:rFonts w:eastAsiaTheme="minorHAnsi"/>
          <w:lang w:eastAsia="en-US"/>
        </w:rPr>
        <w:t xml:space="preserve">53 de la Constitución Nacional. En la misma providencia, </w:t>
      </w:r>
      <w:r w:rsidR="00A844A4" w:rsidRPr="00F0074A">
        <w:rPr>
          <w:rFonts w:eastAsiaTheme="minorHAnsi"/>
          <w:lang w:eastAsia="en-US"/>
        </w:rPr>
        <w:t>el Juzgado Contencioso Administrativo Federal no. 10</w:t>
      </w:r>
      <w:r w:rsidRPr="00F0074A">
        <w:rPr>
          <w:rFonts w:eastAsiaTheme="minorHAnsi"/>
          <w:lang w:eastAsia="en-US"/>
        </w:rPr>
        <w:t>, decidió continuar el trámite de la demanda respecto del Estado Nacional</w:t>
      </w:r>
      <w:r w:rsidRPr="00F0074A">
        <w:rPr>
          <w:rStyle w:val="Refdenotaalpie"/>
          <w:rFonts w:eastAsiaTheme="minorHAnsi"/>
          <w:lang w:eastAsia="en-US"/>
        </w:rPr>
        <w:footnoteReference w:id="51"/>
      </w:r>
      <w:r w:rsidRPr="00F0074A">
        <w:rPr>
          <w:rFonts w:eastAsiaTheme="minorHAnsi"/>
          <w:lang w:eastAsia="en-US"/>
        </w:rPr>
        <w:t xml:space="preserve">. El 30 de abril de 2007 </w:t>
      </w:r>
      <w:r w:rsidR="00A844A4" w:rsidRPr="00F0074A">
        <w:rPr>
          <w:rFonts w:eastAsiaTheme="minorHAnsi"/>
          <w:lang w:eastAsia="en-US"/>
        </w:rPr>
        <w:t>dicho juzgado</w:t>
      </w:r>
      <w:r w:rsidRPr="00F0074A">
        <w:rPr>
          <w:rFonts w:eastAsiaTheme="minorHAnsi"/>
          <w:lang w:eastAsia="en-US"/>
        </w:rPr>
        <w:t xml:space="preserve"> dictó sentencia rechazando la acción de daños y perjuicios, indicando que para que el Estado </w:t>
      </w:r>
      <w:r w:rsidR="00D31090" w:rsidRPr="00F0074A">
        <w:rPr>
          <w:rFonts w:eastAsiaTheme="minorHAnsi"/>
          <w:lang w:eastAsia="en-US"/>
        </w:rPr>
        <w:t>fuera</w:t>
      </w:r>
      <w:r w:rsidRPr="00F0074A">
        <w:rPr>
          <w:rFonts w:eastAsiaTheme="minorHAnsi"/>
          <w:lang w:eastAsia="en-US"/>
        </w:rPr>
        <w:t xml:space="preserve"> responsable del perjuicio ocasionado a quien sufre prisión preventiva </w:t>
      </w:r>
      <w:r w:rsidRPr="00F0074A">
        <w:rPr>
          <w:rFonts w:eastAsiaTheme="minorHAnsi" w:cs="Arial"/>
          <w:iCs/>
          <w:lang w:eastAsia="en-US"/>
        </w:rPr>
        <w:t>y</w:t>
      </w:r>
      <w:r w:rsidRPr="00F0074A">
        <w:rPr>
          <w:rFonts w:eastAsiaTheme="minorHAnsi"/>
          <w:lang w:eastAsia="en-US"/>
        </w:rPr>
        <w:t xml:space="preserve"> luego resulta absuelto, se requiere que “</w:t>
      </w:r>
      <w:r w:rsidR="00316587">
        <w:rPr>
          <w:rFonts w:eastAsiaTheme="minorHAnsi"/>
          <w:lang w:eastAsia="en-US"/>
        </w:rPr>
        <w:t xml:space="preserve">(i) </w:t>
      </w:r>
      <w:r w:rsidRPr="00F0074A">
        <w:rPr>
          <w:rFonts w:eastAsiaTheme="minorHAnsi"/>
          <w:lang w:eastAsia="en-US"/>
        </w:rPr>
        <w:t>la absolución haya sido dictada en vir</w:t>
      </w:r>
      <w:r w:rsidR="00316587">
        <w:rPr>
          <w:rFonts w:eastAsiaTheme="minorHAnsi"/>
          <w:lang w:eastAsia="en-US"/>
        </w:rPr>
        <w:t>tud de su inocencia manifiesta</w:t>
      </w:r>
      <w:r w:rsidR="00416AAE">
        <w:rPr>
          <w:rFonts w:eastAsiaTheme="minorHAnsi"/>
          <w:lang w:eastAsia="en-US"/>
        </w:rPr>
        <w:t>,</w:t>
      </w:r>
      <w:r w:rsidR="00316587">
        <w:rPr>
          <w:rFonts w:eastAsiaTheme="minorHAnsi"/>
          <w:lang w:eastAsia="en-US"/>
        </w:rPr>
        <w:t xml:space="preserve"> y (ii) </w:t>
      </w:r>
      <w:r w:rsidRPr="00F0074A">
        <w:rPr>
          <w:rFonts w:eastAsiaTheme="minorHAnsi"/>
          <w:lang w:eastAsia="en-US"/>
        </w:rPr>
        <w:t>el auto de prisión preventiva, aun confirmado en las instancia superiores o provenientes de éstas, se revele como incuestionablemente infundad</w:t>
      </w:r>
      <w:r w:rsidR="00D31090" w:rsidRPr="00F0074A">
        <w:rPr>
          <w:rFonts w:eastAsiaTheme="minorHAnsi"/>
          <w:lang w:eastAsia="en-US"/>
        </w:rPr>
        <w:t>o o arbitrario”</w:t>
      </w:r>
      <w:r w:rsidR="00316587">
        <w:rPr>
          <w:rFonts w:eastAsiaTheme="minorHAnsi"/>
          <w:lang w:eastAsia="en-US"/>
        </w:rPr>
        <w:t>,</w:t>
      </w:r>
      <w:r w:rsidR="00D31090" w:rsidRPr="00F0074A">
        <w:rPr>
          <w:rFonts w:eastAsiaTheme="minorHAnsi"/>
          <w:lang w:eastAsia="en-US"/>
        </w:rPr>
        <w:t xml:space="preserve"> lo cual no surgía</w:t>
      </w:r>
      <w:r w:rsidRPr="00F0074A">
        <w:rPr>
          <w:rFonts w:eastAsiaTheme="minorHAnsi"/>
          <w:lang w:eastAsia="en-US"/>
        </w:rPr>
        <w:t xml:space="preserve"> del expediente </w:t>
      </w:r>
      <w:r w:rsidR="00D31090" w:rsidRPr="00F0074A">
        <w:rPr>
          <w:rFonts w:eastAsiaTheme="minorHAnsi"/>
          <w:lang w:eastAsia="en-US"/>
        </w:rPr>
        <w:t>del presente caso. El juzgado</w:t>
      </w:r>
      <w:r w:rsidRPr="00F0074A">
        <w:rPr>
          <w:rFonts w:eastAsiaTheme="minorHAnsi"/>
          <w:lang w:eastAsia="en-US"/>
        </w:rPr>
        <w:t xml:space="preserve"> agregó que la absolución del señor Jenkins no </w:t>
      </w:r>
      <w:r w:rsidR="00D31090" w:rsidRPr="00F0074A">
        <w:rPr>
          <w:rFonts w:eastAsiaTheme="minorHAnsi"/>
          <w:lang w:eastAsia="en-US"/>
        </w:rPr>
        <w:t>había sido</w:t>
      </w:r>
      <w:r w:rsidRPr="00F0074A">
        <w:rPr>
          <w:rFonts w:eastAsiaTheme="minorHAnsi"/>
          <w:lang w:eastAsia="en-US"/>
        </w:rPr>
        <w:t xml:space="preserve"> dictada en virtud de inocencia manifiesta, sino que fue la insuficiencia de elementos probatorios reunido en torno de la conducta del señor Jenkins</w:t>
      </w:r>
      <w:r w:rsidR="001A3D54">
        <w:rPr>
          <w:rFonts w:eastAsiaTheme="minorHAnsi"/>
          <w:lang w:eastAsia="en-US"/>
        </w:rPr>
        <w:t xml:space="preserve"> </w:t>
      </w:r>
      <w:r w:rsidRPr="00F0074A">
        <w:rPr>
          <w:rFonts w:eastAsiaTheme="minorHAnsi"/>
          <w:lang w:eastAsia="en-US"/>
        </w:rPr>
        <w:t xml:space="preserve">lo que llevó a la Fiscalía actuante a solicitar su absolución y al Tribunal a fallar por mayoría simple como lo hizo. </w:t>
      </w:r>
      <w:r w:rsidR="00D31090" w:rsidRPr="00F0074A">
        <w:rPr>
          <w:rFonts w:eastAsiaTheme="minorHAnsi"/>
          <w:lang w:eastAsia="en-US"/>
        </w:rPr>
        <w:t>Subrayó</w:t>
      </w:r>
      <w:r w:rsidRPr="00F0074A">
        <w:rPr>
          <w:rFonts w:eastAsiaTheme="minorHAnsi"/>
          <w:lang w:eastAsia="en-US"/>
        </w:rPr>
        <w:t xml:space="preserve"> que el auto de prisión –que implicó la toma de una decisión provisoria- no se revela</w:t>
      </w:r>
      <w:r w:rsidR="00D31090" w:rsidRPr="00F0074A">
        <w:rPr>
          <w:rFonts w:eastAsiaTheme="minorHAnsi"/>
          <w:lang w:eastAsia="en-US"/>
        </w:rPr>
        <w:t>ba</w:t>
      </w:r>
      <w:r w:rsidRPr="00F0074A">
        <w:rPr>
          <w:rFonts w:eastAsiaTheme="minorHAnsi"/>
          <w:lang w:eastAsia="en-US"/>
        </w:rPr>
        <w:t xml:space="preserve"> como incuestionablemente infundado o arbitrario debido a que fueron </w:t>
      </w:r>
      <w:r w:rsidR="007300AE" w:rsidRPr="00F0074A">
        <w:rPr>
          <w:rFonts w:eastAsiaTheme="minorHAnsi"/>
          <w:lang w:eastAsia="en-US"/>
        </w:rPr>
        <w:t>distinto</w:t>
      </w:r>
      <w:r w:rsidR="007300AE">
        <w:rPr>
          <w:rFonts w:eastAsiaTheme="minorHAnsi"/>
          <w:lang w:eastAsia="en-US"/>
        </w:rPr>
        <w:t>s</w:t>
      </w:r>
      <w:r w:rsidR="007300AE" w:rsidRPr="00F0074A">
        <w:rPr>
          <w:rFonts w:eastAsiaTheme="minorHAnsi"/>
          <w:lang w:eastAsia="en-US"/>
        </w:rPr>
        <w:t xml:space="preserve"> </w:t>
      </w:r>
      <w:r w:rsidR="007300AE">
        <w:rPr>
          <w:rFonts w:eastAsiaTheme="minorHAnsi"/>
          <w:lang w:eastAsia="en-US"/>
        </w:rPr>
        <w:t>“</w:t>
      </w:r>
      <w:r w:rsidRPr="00F0074A">
        <w:rPr>
          <w:rFonts w:eastAsiaTheme="minorHAnsi"/>
          <w:lang w:eastAsia="en-US"/>
        </w:rPr>
        <w:t xml:space="preserve">los elementos probatorios que –valorados en su conjunto dentro de un contexto de indicios y dada la etapa del proceso en que se dictó- convencieron al Juzgador en el sentido de disponer la medida preventiva </w:t>
      </w:r>
      <w:r w:rsidR="007300AE">
        <w:rPr>
          <w:rFonts w:eastAsiaTheme="minorHAnsi"/>
          <w:lang w:eastAsia="en-US"/>
        </w:rPr>
        <w:t xml:space="preserve">[…] </w:t>
      </w:r>
      <w:r w:rsidRPr="00F0074A">
        <w:rPr>
          <w:rFonts w:eastAsiaTheme="minorHAnsi"/>
          <w:lang w:eastAsia="en-US"/>
        </w:rPr>
        <w:t xml:space="preserve">y el </w:t>
      </w:r>
      <w:r w:rsidR="007300AE">
        <w:rPr>
          <w:rFonts w:eastAsiaTheme="minorHAnsi"/>
          <w:lang w:eastAsia="en-US"/>
        </w:rPr>
        <w:t>[</w:t>
      </w:r>
      <w:r w:rsidRPr="00F0074A">
        <w:rPr>
          <w:rFonts w:eastAsiaTheme="minorHAnsi"/>
          <w:lang w:eastAsia="en-US"/>
        </w:rPr>
        <w:t>r</w:t>
      </w:r>
      <w:r w:rsidR="007300AE">
        <w:rPr>
          <w:rFonts w:eastAsiaTheme="minorHAnsi"/>
          <w:lang w:eastAsia="en-US"/>
        </w:rPr>
        <w:t>]</w:t>
      </w:r>
      <w:r w:rsidRPr="00F0074A">
        <w:rPr>
          <w:rFonts w:eastAsiaTheme="minorHAnsi"/>
          <w:lang w:eastAsia="en-US"/>
        </w:rPr>
        <w:t>eque</w:t>
      </w:r>
      <w:r w:rsidR="00D31090" w:rsidRPr="00F0074A">
        <w:rPr>
          <w:rFonts w:eastAsiaTheme="minorHAnsi"/>
          <w:lang w:eastAsia="en-US"/>
        </w:rPr>
        <w:t xml:space="preserve">rimiento de </w:t>
      </w:r>
      <w:r w:rsidR="007300AE">
        <w:rPr>
          <w:rFonts w:eastAsiaTheme="minorHAnsi"/>
          <w:lang w:eastAsia="en-US"/>
        </w:rPr>
        <w:t>[</w:t>
      </w:r>
      <w:r w:rsidR="00D31090" w:rsidRPr="00F0074A">
        <w:rPr>
          <w:rFonts w:eastAsiaTheme="minorHAnsi"/>
          <w:lang w:eastAsia="en-US"/>
        </w:rPr>
        <w:t>e</w:t>
      </w:r>
      <w:r w:rsidR="007300AE">
        <w:rPr>
          <w:rFonts w:eastAsiaTheme="minorHAnsi"/>
          <w:lang w:eastAsia="en-US"/>
        </w:rPr>
        <w:t>]</w:t>
      </w:r>
      <w:r w:rsidR="00D31090" w:rsidRPr="00F0074A">
        <w:rPr>
          <w:rFonts w:eastAsiaTheme="minorHAnsi"/>
          <w:lang w:eastAsia="en-US"/>
        </w:rPr>
        <w:t xml:space="preserve">levación a </w:t>
      </w:r>
      <w:r w:rsidR="007300AE">
        <w:rPr>
          <w:rFonts w:eastAsiaTheme="minorHAnsi"/>
          <w:lang w:eastAsia="en-US"/>
        </w:rPr>
        <w:t>[</w:t>
      </w:r>
      <w:r w:rsidR="00D31090" w:rsidRPr="00F0074A">
        <w:rPr>
          <w:rFonts w:eastAsiaTheme="minorHAnsi"/>
          <w:lang w:eastAsia="en-US"/>
        </w:rPr>
        <w:t>j</w:t>
      </w:r>
      <w:r w:rsidR="007300AE">
        <w:rPr>
          <w:rFonts w:eastAsiaTheme="minorHAnsi"/>
          <w:lang w:eastAsia="en-US"/>
        </w:rPr>
        <w:t>]</w:t>
      </w:r>
      <w:r w:rsidR="00D31090" w:rsidRPr="00F0074A">
        <w:rPr>
          <w:rFonts w:eastAsiaTheme="minorHAnsi"/>
          <w:lang w:eastAsia="en-US"/>
        </w:rPr>
        <w:t>uicio</w:t>
      </w:r>
      <w:r w:rsidRPr="00F0074A">
        <w:rPr>
          <w:rFonts w:eastAsiaTheme="minorHAnsi"/>
          <w:lang w:eastAsia="en-US"/>
        </w:rPr>
        <w:t>”</w:t>
      </w:r>
      <w:r w:rsidRPr="00F0074A">
        <w:rPr>
          <w:rStyle w:val="Refdenotaalpie"/>
          <w:rFonts w:eastAsiaTheme="minorHAnsi"/>
          <w:lang w:eastAsia="en-US"/>
        </w:rPr>
        <w:footnoteReference w:id="52"/>
      </w:r>
      <w:r w:rsidR="00D31090" w:rsidRPr="00F0074A">
        <w:rPr>
          <w:rFonts w:eastAsiaTheme="minorHAnsi"/>
          <w:lang w:eastAsia="en-US"/>
        </w:rPr>
        <w:t>.</w:t>
      </w:r>
    </w:p>
    <w:p w14:paraId="35426C6A" w14:textId="77777777" w:rsidR="00BF590B" w:rsidRPr="00F0074A" w:rsidRDefault="00BF590B" w:rsidP="00324FD8">
      <w:pPr>
        <w:pStyle w:val="Ttulo3"/>
      </w:pPr>
      <w:bookmarkStart w:id="59" w:name="_Toc27405424"/>
      <w:r w:rsidRPr="00F0074A">
        <w:t>b.2 Recurso de apelación, decisión de segunda instancia y recurso de queja</w:t>
      </w:r>
      <w:bookmarkEnd w:id="59"/>
    </w:p>
    <w:p w14:paraId="504601A3" w14:textId="77777777" w:rsidR="00BF590B" w:rsidRPr="00F0074A" w:rsidRDefault="00BF590B" w:rsidP="00E06F63">
      <w:pPr>
        <w:widowControl/>
        <w:numPr>
          <w:ilvl w:val="0"/>
          <w:numId w:val="11"/>
        </w:numPr>
        <w:tabs>
          <w:tab w:val="left" w:pos="567"/>
          <w:tab w:val="num" w:pos="1569"/>
          <w:tab w:val="num" w:pos="12305"/>
        </w:tabs>
        <w:autoSpaceDE w:val="0"/>
        <w:autoSpaceDN w:val="0"/>
        <w:adjustRightInd/>
        <w:spacing w:line="240" w:lineRule="auto"/>
        <w:ind w:left="0" w:right="-90" w:firstLine="0"/>
        <w:textAlignment w:val="auto"/>
        <w:rPr>
          <w:rFonts w:eastAsiaTheme="minorHAnsi"/>
          <w:lang w:eastAsia="en-US"/>
        </w:rPr>
      </w:pPr>
      <w:r w:rsidRPr="00F0074A">
        <w:rPr>
          <w:rFonts w:eastAsiaTheme="minorHAnsi"/>
          <w:lang w:eastAsia="en-US"/>
        </w:rPr>
        <w:t xml:space="preserve">La defensa del señor Jenkins interpuso un recurso de apelación ante la Sala III de la Cámara Nacional de Apelaciones en lo Contencioso Administrativo Federal </w:t>
      </w:r>
      <w:r w:rsidR="003754B6">
        <w:rPr>
          <w:rFonts w:eastAsiaTheme="minorHAnsi"/>
          <w:lang w:eastAsia="en-US"/>
        </w:rPr>
        <w:t xml:space="preserve">(en adelante, “Sala III”) </w:t>
      </w:r>
      <w:r w:rsidRPr="00F0074A">
        <w:rPr>
          <w:rFonts w:eastAsiaTheme="minorHAnsi"/>
          <w:lang w:eastAsia="en-US"/>
        </w:rPr>
        <w:t xml:space="preserve">contra la sentencia </w:t>
      </w:r>
      <w:r w:rsidRPr="00F0074A">
        <w:t>del Juzgado Contencioso Administrativo Federal No. 10</w:t>
      </w:r>
      <w:r w:rsidRPr="00F0074A">
        <w:rPr>
          <w:rStyle w:val="Refdenotaalpie"/>
          <w:rFonts w:eastAsiaTheme="minorHAnsi"/>
          <w:lang w:eastAsia="en-US"/>
        </w:rPr>
        <w:footnoteReference w:id="53"/>
      </w:r>
      <w:r w:rsidR="00C11540" w:rsidRPr="00F0074A">
        <w:rPr>
          <w:rFonts w:eastAsiaTheme="minorHAnsi"/>
          <w:lang w:eastAsia="en-US"/>
        </w:rPr>
        <w:t>.</w:t>
      </w:r>
      <w:r w:rsidR="004C6365" w:rsidRPr="00F0074A">
        <w:rPr>
          <w:rFonts w:eastAsiaTheme="minorHAnsi"/>
          <w:lang w:eastAsia="en-US"/>
        </w:rPr>
        <w:t xml:space="preserve"> </w:t>
      </w:r>
      <w:r w:rsidR="00D31090" w:rsidRPr="00F0074A">
        <w:rPr>
          <w:rFonts w:eastAsiaTheme="minorHAnsi"/>
          <w:lang w:eastAsia="en-US"/>
        </w:rPr>
        <w:t xml:space="preserve">El 25 de marzo de 2008 </w:t>
      </w:r>
      <w:r w:rsidRPr="00F0074A">
        <w:rPr>
          <w:rFonts w:eastAsiaTheme="minorHAnsi"/>
          <w:lang w:eastAsia="en-US"/>
        </w:rPr>
        <w:t xml:space="preserve">la Sala </w:t>
      </w:r>
      <w:r w:rsidRPr="00F0074A">
        <w:rPr>
          <w:rFonts w:eastAsiaTheme="minorHAnsi"/>
          <w:lang w:eastAsia="en-US"/>
        </w:rPr>
        <w:lastRenderedPageBreak/>
        <w:t xml:space="preserve">III declaró desierto el recurso de apelación interpuesto por el señor Jenkins porque </w:t>
      </w:r>
      <w:r w:rsidR="003307A3" w:rsidRPr="00F0074A">
        <w:rPr>
          <w:rFonts w:eastAsiaTheme="minorHAnsi"/>
          <w:lang w:eastAsia="en-US"/>
        </w:rPr>
        <w:t>“</w:t>
      </w:r>
      <w:r w:rsidRPr="00F0074A">
        <w:rPr>
          <w:rFonts w:eastAsiaTheme="minorHAnsi"/>
          <w:lang w:eastAsia="en-US"/>
        </w:rPr>
        <w:t xml:space="preserve">en su interposición no se efectuó una controversia sobre las razones esgrimidas por la jueza en la decisión de primera instancia y no </w:t>
      </w:r>
      <w:r w:rsidR="00D31090" w:rsidRPr="00F0074A">
        <w:rPr>
          <w:rFonts w:eastAsiaTheme="minorHAnsi"/>
          <w:lang w:eastAsia="en-US"/>
        </w:rPr>
        <w:t>existían</w:t>
      </w:r>
      <w:r w:rsidRPr="00F0074A">
        <w:rPr>
          <w:rFonts w:eastAsiaTheme="minorHAnsi"/>
          <w:lang w:eastAsia="en-US"/>
        </w:rPr>
        <w:t xml:space="preserve"> motivos para apartarse del criterio objetivo de la derrota</w:t>
      </w:r>
      <w:r w:rsidR="003307A3" w:rsidRPr="00F0074A">
        <w:rPr>
          <w:rFonts w:eastAsiaTheme="minorHAnsi"/>
          <w:lang w:eastAsia="en-US"/>
        </w:rPr>
        <w:t>”</w:t>
      </w:r>
      <w:r w:rsidR="00D31090" w:rsidRPr="00F0074A">
        <w:rPr>
          <w:rStyle w:val="Refdenotaalpie"/>
          <w:rFonts w:eastAsiaTheme="minorHAnsi"/>
          <w:lang w:eastAsia="en-US"/>
        </w:rPr>
        <w:footnoteReference w:id="54"/>
      </w:r>
      <w:r w:rsidRPr="00F0074A">
        <w:rPr>
          <w:rFonts w:eastAsiaTheme="minorHAnsi"/>
          <w:lang w:eastAsia="en-US"/>
        </w:rPr>
        <w:t xml:space="preserve">. </w:t>
      </w:r>
      <w:r w:rsidR="00D31090" w:rsidRPr="00F0074A">
        <w:rPr>
          <w:rFonts w:eastAsiaTheme="minorHAnsi"/>
          <w:lang w:eastAsia="en-US"/>
        </w:rPr>
        <w:t xml:space="preserve">Además, la Sala III consideró </w:t>
      </w:r>
      <w:r w:rsidRPr="00F0074A">
        <w:rPr>
          <w:rFonts w:eastAsiaTheme="minorHAnsi"/>
          <w:lang w:eastAsia="en-US"/>
        </w:rPr>
        <w:t>que cuando se dispuso la privación de libertad</w:t>
      </w:r>
      <w:r w:rsidR="00D31090" w:rsidRPr="00F0074A">
        <w:rPr>
          <w:rFonts w:eastAsiaTheme="minorHAnsi"/>
          <w:lang w:eastAsia="en-US"/>
        </w:rPr>
        <w:t xml:space="preserve"> del señor Jenkins</w:t>
      </w:r>
      <w:r w:rsidRPr="00F0074A">
        <w:rPr>
          <w:rFonts w:eastAsiaTheme="minorHAnsi"/>
          <w:lang w:eastAsia="en-US"/>
        </w:rPr>
        <w:t xml:space="preserve"> existían suficientes elementos de prueba susceptibles de generar una legítima sospecha respecto de la responsabilidad penal del señor Jenkins</w:t>
      </w:r>
      <w:r w:rsidR="00D31090" w:rsidRPr="00F0074A">
        <w:rPr>
          <w:rStyle w:val="Refdenotaalpie"/>
          <w:rFonts w:eastAsiaTheme="minorHAnsi"/>
          <w:lang w:eastAsia="en-US"/>
        </w:rPr>
        <w:footnoteReference w:id="55"/>
      </w:r>
      <w:r w:rsidRPr="00F0074A">
        <w:rPr>
          <w:rFonts w:eastAsiaTheme="minorHAnsi"/>
          <w:lang w:eastAsia="en-US"/>
        </w:rPr>
        <w:t xml:space="preserve">. </w:t>
      </w:r>
      <w:r w:rsidR="00D31090" w:rsidRPr="00F0074A">
        <w:rPr>
          <w:rFonts w:eastAsiaTheme="minorHAnsi"/>
          <w:lang w:eastAsia="en-US"/>
        </w:rPr>
        <w:t xml:space="preserve">La Sala concluyó </w:t>
      </w:r>
      <w:r w:rsidRPr="00F0074A">
        <w:rPr>
          <w:rFonts w:eastAsiaTheme="minorHAnsi"/>
          <w:lang w:eastAsia="en-US"/>
        </w:rPr>
        <w:t xml:space="preserve">que “la absolución no fue dictada en virtud de una ‘inocencia manifiesta’, </w:t>
      </w:r>
      <w:r w:rsidR="003307A3" w:rsidRPr="00F0074A">
        <w:rPr>
          <w:rFonts w:eastAsiaTheme="minorHAnsi"/>
          <w:lang w:eastAsia="en-US"/>
        </w:rPr>
        <w:t>[…]</w:t>
      </w:r>
      <w:r w:rsidRPr="00F0074A">
        <w:rPr>
          <w:rFonts w:eastAsiaTheme="minorHAnsi"/>
          <w:lang w:eastAsia="en-US"/>
        </w:rPr>
        <w:t xml:space="preserve">, sino que la insuficiencia de elementos probatorios reunidos durante el </w:t>
      </w:r>
      <w:r w:rsidR="003307A3" w:rsidRPr="00F0074A">
        <w:rPr>
          <w:rFonts w:eastAsiaTheme="minorHAnsi"/>
          <w:lang w:eastAsia="en-US"/>
        </w:rPr>
        <w:t>[…]</w:t>
      </w:r>
      <w:r w:rsidRPr="00F0074A">
        <w:rPr>
          <w:rFonts w:eastAsiaTheme="minorHAnsi"/>
          <w:lang w:eastAsia="en-US"/>
        </w:rPr>
        <w:t xml:space="preserve"> llevó a la Fiscalía a solicitar la absolución de Jenkins y al Tribunal Oral a fallar en su consecuencia”</w:t>
      </w:r>
      <w:r w:rsidRPr="00F0074A">
        <w:rPr>
          <w:rStyle w:val="Refdenotaalpie"/>
          <w:rFonts w:eastAsiaTheme="minorHAnsi"/>
          <w:lang w:eastAsia="en-US"/>
        </w:rPr>
        <w:footnoteReference w:id="56"/>
      </w:r>
      <w:r w:rsidR="00D31090" w:rsidRPr="00F0074A">
        <w:rPr>
          <w:rFonts w:eastAsiaTheme="minorHAnsi"/>
          <w:lang w:eastAsia="en-US"/>
        </w:rPr>
        <w:t>.</w:t>
      </w:r>
    </w:p>
    <w:p w14:paraId="28B9AFF8" w14:textId="77777777" w:rsidR="00D31090" w:rsidRPr="00F0074A" w:rsidRDefault="00D31090" w:rsidP="00E06F63">
      <w:pPr>
        <w:widowControl/>
        <w:tabs>
          <w:tab w:val="left" w:pos="567"/>
          <w:tab w:val="num" w:pos="12305"/>
        </w:tabs>
        <w:autoSpaceDE w:val="0"/>
        <w:autoSpaceDN w:val="0"/>
        <w:adjustRightInd/>
        <w:spacing w:line="240" w:lineRule="auto"/>
        <w:ind w:right="-90"/>
        <w:textAlignment w:val="auto"/>
        <w:rPr>
          <w:rFonts w:eastAsiaTheme="minorHAnsi"/>
          <w:lang w:eastAsia="en-US"/>
        </w:rPr>
      </w:pPr>
    </w:p>
    <w:p w14:paraId="76A08A31" w14:textId="2BA1154B" w:rsidR="00BF590B" w:rsidRPr="00F0074A" w:rsidRDefault="00BF590B" w:rsidP="00E06F63">
      <w:pPr>
        <w:numPr>
          <w:ilvl w:val="0"/>
          <w:numId w:val="11"/>
        </w:numPr>
        <w:tabs>
          <w:tab w:val="left" w:pos="567"/>
          <w:tab w:val="num" w:pos="1569"/>
          <w:tab w:val="num" w:pos="12305"/>
        </w:tabs>
        <w:spacing w:line="240" w:lineRule="auto"/>
        <w:ind w:left="0" w:firstLine="0"/>
        <w:rPr>
          <w:rFonts w:eastAsiaTheme="minorHAnsi"/>
          <w:lang w:eastAsia="en-US"/>
        </w:rPr>
      </w:pPr>
      <w:r w:rsidRPr="00F0074A">
        <w:rPr>
          <w:rFonts w:eastAsiaTheme="minorHAnsi"/>
          <w:lang w:eastAsia="en-US"/>
        </w:rPr>
        <w:t xml:space="preserve">Posteriormente, el señor Jenkins presentó </w:t>
      </w:r>
      <w:r w:rsidR="00F1710C" w:rsidRPr="00F0074A">
        <w:rPr>
          <w:rFonts w:eastAsiaTheme="minorHAnsi"/>
          <w:lang w:eastAsia="en-US"/>
        </w:rPr>
        <w:t xml:space="preserve">ante la Corte Suprema de Justicia de la Nación </w:t>
      </w:r>
      <w:r w:rsidRPr="00F0074A">
        <w:rPr>
          <w:rFonts w:eastAsiaTheme="minorHAnsi"/>
          <w:lang w:eastAsia="en-US"/>
        </w:rPr>
        <w:t xml:space="preserve">un recurso de hecho en contra de la </w:t>
      </w:r>
      <w:r w:rsidR="00D31090" w:rsidRPr="00F0074A">
        <w:rPr>
          <w:rFonts w:eastAsiaTheme="minorHAnsi"/>
          <w:lang w:eastAsia="en-US"/>
        </w:rPr>
        <w:t>sentencia de la Sala III de la</w:t>
      </w:r>
      <w:r w:rsidR="003307A3" w:rsidRPr="00F0074A">
        <w:rPr>
          <w:rFonts w:eastAsiaTheme="minorHAnsi"/>
          <w:lang w:eastAsia="en-US"/>
        </w:rPr>
        <w:t xml:space="preserve"> Cámara Nacional de Apelaciones de 25 de marzo de 2008</w:t>
      </w:r>
      <w:r w:rsidRPr="00F0074A">
        <w:rPr>
          <w:rFonts w:eastAsiaTheme="minorHAnsi"/>
          <w:lang w:eastAsia="en-US"/>
        </w:rPr>
        <w:t xml:space="preserve">. El 17 de marzo de 2009 la Corte Suprema </w:t>
      </w:r>
      <w:r w:rsidR="003307A3" w:rsidRPr="00F0074A">
        <w:rPr>
          <w:rFonts w:eastAsiaTheme="minorHAnsi"/>
          <w:lang w:eastAsia="en-US"/>
        </w:rPr>
        <w:t xml:space="preserve">de Justicia de la Nación </w:t>
      </w:r>
      <w:r w:rsidRPr="00F0074A">
        <w:rPr>
          <w:rFonts w:eastAsiaTheme="minorHAnsi"/>
          <w:lang w:eastAsia="en-US"/>
        </w:rPr>
        <w:t xml:space="preserve">emitió </w:t>
      </w:r>
      <w:r w:rsidR="00F1710C" w:rsidRPr="00F0074A">
        <w:rPr>
          <w:rFonts w:eastAsiaTheme="minorHAnsi"/>
          <w:lang w:eastAsia="en-US"/>
        </w:rPr>
        <w:t xml:space="preserve">una </w:t>
      </w:r>
      <w:r w:rsidRPr="00F0074A">
        <w:rPr>
          <w:rFonts w:eastAsiaTheme="minorHAnsi"/>
          <w:lang w:eastAsia="en-US"/>
        </w:rPr>
        <w:t xml:space="preserve">sentencia denegando dicho recurso </w:t>
      </w:r>
      <w:r w:rsidR="00F1710C" w:rsidRPr="00F0074A">
        <w:rPr>
          <w:rFonts w:eastAsiaTheme="minorHAnsi"/>
          <w:lang w:eastAsia="en-US"/>
        </w:rPr>
        <w:t>debido a que</w:t>
      </w:r>
      <w:r w:rsidRPr="00F0074A">
        <w:rPr>
          <w:rFonts w:eastAsiaTheme="minorHAnsi"/>
          <w:lang w:eastAsia="en-US"/>
        </w:rPr>
        <w:t xml:space="preserve"> </w:t>
      </w:r>
      <w:r w:rsidR="00316587">
        <w:rPr>
          <w:rFonts w:eastAsiaTheme="minorHAnsi"/>
          <w:lang w:eastAsia="en-US"/>
        </w:rPr>
        <w:t>(i)</w:t>
      </w:r>
      <w:r w:rsidRPr="00F0074A">
        <w:rPr>
          <w:rFonts w:eastAsiaTheme="minorHAnsi"/>
          <w:lang w:eastAsia="en-US"/>
        </w:rPr>
        <w:t xml:space="preserve"> la queja se ha</w:t>
      </w:r>
      <w:r w:rsidR="00F1710C" w:rsidRPr="00F0074A">
        <w:rPr>
          <w:rFonts w:eastAsiaTheme="minorHAnsi"/>
          <w:lang w:eastAsia="en-US"/>
        </w:rPr>
        <w:t>bía</w:t>
      </w:r>
      <w:r w:rsidRPr="00F0074A">
        <w:rPr>
          <w:rFonts w:eastAsiaTheme="minorHAnsi"/>
          <w:lang w:eastAsia="en-US"/>
        </w:rPr>
        <w:t xml:space="preserve"> excedido de la </w:t>
      </w:r>
      <w:r w:rsidRPr="00F0074A">
        <w:t>extensión</w:t>
      </w:r>
      <w:r w:rsidRPr="00F0074A">
        <w:rPr>
          <w:rFonts w:eastAsiaTheme="minorHAnsi"/>
          <w:lang w:eastAsia="en-US"/>
        </w:rPr>
        <w:t xml:space="preserve"> prevista por las disposiciones reglamentarias</w:t>
      </w:r>
      <w:r w:rsidR="00416AAE">
        <w:rPr>
          <w:rFonts w:eastAsiaTheme="minorHAnsi"/>
          <w:lang w:eastAsia="en-US"/>
        </w:rPr>
        <w:t>,</w:t>
      </w:r>
      <w:r w:rsidRPr="00F0074A">
        <w:rPr>
          <w:rFonts w:eastAsiaTheme="minorHAnsi"/>
          <w:lang w:eastAsia="en-US"/>
        </w:rPr>
        <w:t xml:space="preserve"> </w:t>
      </w:r>
      <w:r w:rsidR="00316587">
        <w:rPr>
          <w:rFonts w:eastAsiaTheme="minorHAnsi"/>
          <w:lang w:eastAsia="en-US"/>
        </w:rPr>
        <w:t>(ii)</w:t>
      </w:r>
      <w:r w:rsidRPr="00F0074A">
        <w:rPr>
          <w:rFonts w:eastAsiaTheme="minorHAnsi"/>
          <w:lang w:eastAsia="en-US"/>
        </w:rPr>
        <w:t xml:space="preserve"> la queja </w:t>
      </w:r>
      <w:r w:rsidR="00F1710C" w:rsidRPr="00F0074A">
        <w:rPr>
          <w:rFonts w:eastAsiaTheme="minorHAnsi"/>
          <w:lang w:eastAsia="en-US"/>
        </w:rPr>
        <w:t>omitía</w:t>
      </w:r>
      <w:r w:rsidRPr="00F0074A">
        <w:rPr>
          <w:rFonts w:eastAsiaTheme="minorHAnsi"/>
          <w:lang w:eastAsia="en-US"/>
        </w:rPr>
        <w:t xml:space="preserve"> satisfacer su requerimiento principal de refutar los fundamentos de la resolución contra la que se dirige, principalmente la afirmación según la cual no existen diferencias entre el contenido del cassette No. 40 y su transcripción, así como que este elemento de prueba no fue el único tomado en cuenta para </w:t>
      </w:r>
      <w:r w:rsidR="00316587">
        <w:rPr>
          <w:rFonts w:eastAsiaTheme="minorHAnsi"/>
          <w:lang w:eastAsia="en-US"/>
        </w:rPr>
        <w:t>dictar la prisión preventiva,</w:t>
      </w:r>
      <w:r w:rsidR="001A3D54">
        <w:rPr>
          <w:rFonts w:eastAsiaTheme="minorHAnsi"/>
          <w:lang w:eastAsia="en-US"/>
        </w:rPr>
        <w:t xml:space="preserve"> </w:t>
      </w:r>
      <w:r w:rsidR="00316587">
        <w:rPr>
          <w:rFonts w:eastAsiaTheme="minorHAnsi"/>
          <w:lang w:eastAsia="en-US"/>
        </w:rPr>
        <w:t xml:space="preserve">y (iii) </w:t>
      </w:r>
      <w:r w:rsidRPr="00F0074A">
        <w:rPr>
          <w:rFonts w:eastAsiaTheme="minorHAnsi"/>
          <w:lang w:eastAsia="en-US"/>
        </w:rPr>
        <w:t xml:space="preserve">el señor Jenkins </w:t>
      </w:r>
      <w:r w:rsidR="00F1710C" w:rsidRPr="00F0074A">
        <w:rPr>
          <w:rFonts w:eastAsiaTheme="minorHAnsi"/>
          <w:lang w:eastAsia="en-US"/>
        </w:rPr>
        <w:t>pretendía que el Tribunal examinara</w:t>
      </w:r>
      <w:r w:rsidRPr="00F0074A">
        <w:rPr>
          <w:rFonts w:eastAsiaTheme="minorHAnsi"/>
          <w:lang w:eastAsia="en-US"/>
        </w:rPr>
        <w:t xml:space="preserve"> y </w:t>
      </w:r>
      <w:r w:rsidR="00F1710C" w:rsidRPr="00F0074A">
        <w:rPr>
          <w:rFonts w:eastAsiaTheme="minorHAnsi"/>
          <w:lang w:eastAsia="en-US"/>
        </w:rPr>
        <w:t>resolviera</w:t>
      </w:r>
      <w:r w:rsidRPr="00F0074A">
        <w:rPr>
          <w:rFonts w:eastAsiaTheme="minorHAnsi"/>
          <w:lang w:eastAsia="en-US"/>
        </w:rPr>
        <w:t xml:space="preserve">, por vía del recurso de hecho, circunstancias y peticiones que no </w:t>
      </w:r>
      <w:r w:rsidR="00F1710C" w:rsidRPr="00F0074A">
        <w:rPr>
          <w:rFonts w:eastAsiaTheme="minorHAnsi"/>
          <w:lang w:eastAsia="en-US"/>
        </w:rPr>
        <w:t>guardaban</w:t>
      </w:r>
      <w:r w:rsidRPr="00F0074A">
        <w:rPr>
          <w:rFonts w:eastAsiaTheme="minorHAnsi"/>
          <w:lang w:eastAsia="en-US"/>
        </w:rPr>
        <w:t xml:space="preserve"> relación alguna con el objeto de la </w:t>
      </w:r>
      <w:r w:rsidRPr="00F0074A">
        <w:rPr>
          <w:rFonts w:eastAsiaTheme="minorHAnsi"/>
          <w:i/>
          <w:lang w:eastAsia="en-US"/>
        </w:rPr>
        <w:t>litis</w:t>
      </w:r>
      <w:r w:rsidRPr="00F0074A">
        <w:rPr>
          <w:rStyle w:val="Refdenotaalpie"/>
          <w:rFonts w:eastAsiaTheme="minorHAnsi"/>
          <w:lang w:eastAsia="en-US"/>
        </w:rPr>
        <w:footnoteReference w:id="57"/>
      </w:r>
      <w:r w:rsidRPr="00F0074A">
        <w:rPr>
          <w:rFonts w:eastAsiaTheme="minorHAnsi"/>
          <w:lang w:eastAsia="en-US"/>
        </w:rPr>
        <w:t>.</w:t>
      </w:r>
    </w:p>
    <w:p w14:paraId="07E2767C" w14:textId="77777777" w:rsidR="0087580C" w:rsidRPr="00F0074A" w:rsidRDefault="0087580C" w:rsidP="0010568E">
      <w:pPr>
        <w:pStyle w:val="Ttulo1"/>
      </w:pPr>
      <w:bookmarkStart w:id="60" w:name="_Toc27405425"/>
      <w:r w:rsidRPr="00F0074A">
        <w:t>VII</w:t>
      </w:r>
      <w:r w:rsidR="00241F90" w:rsidRPr="00F0074A">
        <w:t>I</w:t>
      </w:r>
      <w:r w:rsidRPr="00F0074A">
        <w:br/>
        <w:t>FONDO</w:t>
      </w:r>
      <w:bookmarkEnd w:id="60"/>
    </w:p>
    <w:p w14:paraId="00616FE1" w14:textId="2E1F8739" w:rsidR="00316587" w:rsidRPr="00316587" w:rsidRDefault="00316587" w:rsidP="004D7A9A">
      <w:pPr>
        <w:widowControl/>
        <w:numPr>
          <w:ilvl w:val="0"/>
          <w:numId w:val="11"/>
        </w:numPr>
        <w:tabs>
          <w:tab w:val="left" w:pos="567"/>
          <w:tab w:val="num" w:pos="1569"/>
          <w:tab w:val="num" w:pos="12305"/>
        </w:tabs>
        <w:spacing w:line="240" w:lineRule="auto"/>
        <w:ind w:left="0" w:firstLine="0"/>
        <w:contextualSpacing/>
      </w:pPr>
      <w:r>
        <w:t>El presente</w:t>
      </w:r>
      <w:r w:rsidRPr="00F0074A">
        <w:t xml:space="preserve"> caso se relaciona con la alegada privación arbitraria de la libertad del señor Jenkins desde el 8 de junio de 1994 hasta el 13 de noviembre de 1997</w:t>
      </w:r>
      <w:r w:rsidR="00DD1E20">
        <w:t>,</w:t>
      </w:r>
      <w:r w:rsidRPr="00F0074A">
        <w:rPr>
          <w:rFonts w:eastAsia="Times"/>
        </w:rPr>
        <w:t xml:space="preserve"> </w:t>
      </w:r>
      <w:r w:rsidRPr="00F0074A">
        <w:t xml:space="preserve">en el marco de </w:t>
      </w:r>
      <w:r w:rsidR="00DD1E20">
        <w:t xml:space="preserve">una causa penal en la que le fueron imputados </w:t>
      </w:r>
      <w:r w:rsidRPr="00F0074A">
        <w:t xml:space="preserve">los delitos de tráfico ilícito de estupefacientes y asociación ilícita, </w:t>
      </w:r>
      <w:r w:rsidR="00DD1E20">
        <w:t xml:space="preserve">y </w:t>
      </w:r>
      <w:r w:rsidRPr="00F0074A">
        <w:t xml:space="preserve">de los </w:t>
      </w:r>
      <w:r w:rsidR="00DD1E20">
        <w:t>cuales fue finalmente absuelto. El caso también se relaciona con la alegada duración irrazonable de la</w:t>
      </w:r>
      <w:r w:rsidRPr="00F0074A">
        <w:rPr>
          <w:rFonts w:cs="Arial"/>
        </w:rPr>
        <w:t xml:space="preserve"> acción civil de daños y perjuicios interpuesta por el señor Jenkins </w:t>
      </w:r>
      <w:r w:rsidR="00DD1E20">
        <w:rPr>
          <w:rFonts w:cs="Arial"/>
        </w:rPr>
        <w:t>tras su absolución.</w:t>
      </w:r>
    </w:p>
    <w:p w14:paraId="04C17BCB" w14:textId="77777777" w:rsidR="00316587" w:rsidRDefault="00316587" w:rsidP="00316587">
      <w:pPr>
        <w:widowControl/>
        <w:tabs>
          <w:tab w:val="left" w:pos="567"/>
        </w:tabs>
        <w:spacing w:line="240" w:lineRule="auto"/>
        <w:contextualSpacing/>
      </w:pPr>
    </w:p>
    <w:p w14:paraId="15E8301E" w14:textId="18B46E23" w:rsidR="009951E1" w:rsidRPr="00F0074A" w:rsidRDefault="00AE561D" w:rsidP="004D7A9A">
      <w:pPr>
        <w:widowControl/>
        <w:numPr>
          <w:ilvl w:val="0"/>
          <w:numId w:val="11"/>
        </w:numPr>
        <w:tabs>
          <w:tab w:val="left" w:pos="567"/>
          <w:tab w:val="num" w:pos="1569"/>
          <w:tab w:val="num" w:pos="12305"/>
        </w:tabs>
        <w:spacing w:line="240" w:lineRule="auto"/>
        <w:ind w:left="0" w:firstLine="0"/>
        <w:contextualSpacing/>
      </w:pPr>
      <w:r w:rsidRPr="00F0074A">
        <w:t>De acuerdo a los alegatos de las partes y la Comisión, en el presente caso la Corte examinará (</w:t>
      </w:r>
      <w:r w:rsidR="00A326C1" w:rsidRPr="00F0074A">
        <w:t xml:space="preserve">i) la detención y alargamiento de la prisión preventiva del señor Jenkins </w:t>
      </w:r>
      <w:r w:rsidRPr="00F0074A">
        <w:t>en alegado incumplimiento con</w:t>
      </w:r>
      <w:r w:rsidR="00A326C1" w:rsidRPr="00F0074A">
        <w:t xml:space="preserve"> los estándares interamericanos y (ii) </w:t>
      </w:r>
      <w:r w:rsidRPr="00F0074A">
        <w:t>la alegada violación del plazo razonable del</w:t>
      </w:r>
      <w:r w:rsidR="00A326C1" w:rsidRPr="00F0074A">
        <w:t xml:space="preserve"> procedimiento contencioso admin</w:t>
      </w:r>
      <w:bookmarkStart w:id="61" w:name="_Toc438113890"/>
      <w:bookmarkStart w:id="62" w:name="_Toc495658671"/>
      <w:bookmarkStart w:id="63" w:name="_Toc514172627"/>
      <w:r w:rsidRPr="00F0074A">
        <w:t>istrativo de daños y perjuicios.</w:t>
      </w:r>
    </w:p>
    <w:p w14:paraId="078AA3CD" w14:textId="4DBC5A66" w:rsidR="00E04DEA" w:rsidRPr="00F0074A" w:rsidRDefault="00E04DEA" w:rsidP="0010568E">
      <w:pPr>
        <w:pStyle w:val="Ttulo1"/>
      </w:pPr>
      <w:bookmarkStart w:id="64" w:name="_Toc27405426"/>
      <w:r w:rsidRPr="00F0074A">
        <w:t>VI</w:t>
      </w:r>
      <w:r w:rsidR="00241F90" w:rsidRPr="00F0074A">
        <w:t>I</w:t>
      </w:r>
      <w:r w:rsidRPr="00F0074A">
        <w:t>I-1</w:t>
      </w:r>
      <w:r w:rsidRPr="00F0074A">
        <w:br/>
      </w:r>
      <w:r w:rsidR="008254BE" w:rsidRPr="00F0074A">
        <w:t xml:space="preserve">DERECHO A </w:t>
      </w:r>
      <w:r w:rsidR="00B24A14">
        <w:t>LA LIBERTAD PERSONAL Y A LAS</w:t>
      </w:r>
      <w:r w:rsidR="00CB7236" w:rsidRPr="00F0074A">
        <w:t xml:space="preserve"> </w:t>
      </w:r>
      <w:r w:rsidR="00891A4D" w:rsidRPr="00F0074A">
        <w:t>GARANTÍAS JUDICIALES</w:t>
      </w:r>
      <w:r w:rsidR="00324FD8" w:rsidRPr="00F0074A">
        <w:rPr>
          <w:rStyle w:val="Refdenotaalpie"/>
        </w:rPr>
        <w:footnoteReference w:id="58"/>
      </w:r>
      <w:bookmarkEnd w:id="64"/>
      <w:r w:rsidR="00891A4D" w:rsidRPr="00F0074A">
        <w:t xml:space="preserve"> </w:t>
      </w:r>
    </w:p>
    <w:p w14:paraId="6CBAAC16" w14:textId="66969435" w:rsidR="00E04DEA" w:rsidRPr="00F0074A" w:rsidRDefault="00E04DEA" w:rsidP="00E06F63">
      <w:pPr>
        <w:numPr>
          <w:ilvl w:val="0"/>
          <w:numId w:val="11"/>
        </w:numPr>
        <w:tabs>
          <w:tab w:val="left" w:pos="567"/>
          <w:tab w:val="num" w:pos="1569"/>
          <w:tab w:val="num" w:pos="12305"/>
        </w:tabs>
        <w:spacing w:line="240" w:lineRule="auto"/>
        <w:ind w:left="0" w:firstLine="0"/>
      </w:pPr>
      <w:r w:rsidRPr="00F0074A">
        <w:t>En el presente capítulo la Corte examinará los alegatos relativos a la</w:t>
      </w:r>
      <w:r w:rsidR="00D12A53" w:rsidRPr="00F0074A">
        <w:t xml:space="preserve"> </w:t>
      </w:r>
      <w:r w:rsidR="0081227B" w:rsidRPr="00F0074A">
        <w:t xml:space="preserve">violación al derecho a la </w:t>
      </w:r>
      <w:r w:rsidR="00CB7236" w:rsidRPr="00F0074A">
        <w:t>libertad personal y las garantías judiciales</w:t>
      </w:r>
      <w:r w:rsidRPr="00F0074A">
        <w:t xml:space="preserve"> derivados </w:t>
      </w:r>
      <w:r w:rsidR="00D12A53" w:rsidRPr="00F0074A">
        <w:t xml:space="preserve">de los artículos </w:t>
      </w:r>
      <w:r w:rsidR="00CB7236" w:rsidRPr="00F0074A">
        <w:t>7</w:t>
      </w:r>
      <w:r w:rsidR="00D12A53" w:rsidRPr="00F0074A">
        <w:t xml:space="preserve"> y</w:t>
      </w:r>
      <w:r w:rsidRPr="00F0074A">
        <w:t xml:space="preserve"> </w:t>
      </w:r>
      <w:r w:rsidR="00CB7236" w:rsidRPr="00F0074A">
        <w:t>8</w:t>
      </w:r>
      <w:r w:rsidRPr="00F0074A">
        <w:t xml:space="preserve"> de la Convención Americana, en relación con los artículos 1.1 y 2 de la Convención</w:t>
      </w:r>
      <w:r w:rsidR="00E61E6F" w:rsidRPr="00F0074A">
        <w:t>,</w:t>
      </w:r>
      <w:r w:rsidRPr="00F0074A">
        <w:t xml:space="preserve"> como resultado de la imposición </w:t>
      </w:r>
      <w:r w:rsidR="00CB7236" w:rsidRPr="00F0074A">
        <w:lastRenderedPageBreak/>
        <w:t xml:space="preserve">de la prisión preventiva </w:t>
      </w:r>
      <w:r w:rsidR="00FE4D0B">
        <w:t>impuesta al</w:t>
      </w:r>
      <w:r w:rsidR="00CB7236" w:rsidRPr="00F0074A">
        <w:t xml:space="preserve"> señor Jenkins desde el 8 de junio de 1994 hasta el 19 de noviembre de 1999</w:t>
      </w:r>
      <w:r w:rsidRPr="00F0074A">
        <w:t>.</w:t>
      </w:r>
    </w:p>
    <w:p w14:paraId="5068C62C" w14:textId="4399C22D" w:rsidR="00E04DEA" w:rsidRPr="00F0074A" w:rsidRDefault="00E04DEA" w:rsidP="00E06F63">
      <w:pPr>
        <w:pStyle w:val="Ttulo2"/>
      </w:pPr>
      <w:bookmarkStart w:id="65" w:name="_Toc27405427"/>
      <w:r w:rsidRPr="00F0074A">
        <w:t>A.</w:t>
      </w:r>
      <w:r w:rsidRPr="00F0074A">
        <w:tab/>
      </w:r>
      <w:r w:rsidR="00390E2D">
        <w:t xml:space="preserve"> </w:t>
      </w:r>
      <w:r w:rsidRPr="00F0074A">
        <w:t>Argumentos de las partes y de la Comisión</w:t>
      </w:r>
      <w:bookmarkEnd w:id="65"/>
    </w:p>
    <w:p w14:paraId="5E875B53" w14:textId="4A8D19A5" w:rsidR="00D60CA8" w:rsidRPr="00F0074A" w:rsidRDefault="00D60CA8" w:rsidP="00E06F63">
      <w:pPr>
        <w:pStyle w:val="Ttulo3"/>
      </w:pPr>
      <w:r w:rsidRPr="00F0074A">
        <w:tab/>
      </w:r>
      <w:bookmarkStart w:id="66" w:name="_Toc27405428"/>
      <w:r w:rsidRPr="00F0074A">
        <w:t xml:space="preserve">a.1 </w:t>
      </w:r>
      <w:r w:rsidR="004F183C">
        <w:t>Orden</w:t>
      </w:r>
      <w:r w:rsidR="004F183C" w:rsidRPr="00F0074A">
        <w:t xml:space="preserve"> </w:t>
      </w:r>
      <w:r w:rsidRPr="00F0074A">
        <w:t>inicial</w:t>
      </w:r>
      <w:r w:rsidR="004F183C">
        <w:t xml:space="preserve"> de prisión preventiva</w:t>
      </w:r>
      <w:bookmarkEnd w:id="66"/>
    </w:p>
    <w:p w14:paraId="44C9BF1A" w14:textId="1D7BE813" w:rsidR="00477B00" w:rsidRDefault="00D60CA8" w:rsidP="009F2D9B">
      <w:pPr>
        <w:numPr>
          <w:ilvl w:val="0"/>
          <w:numId w:val="11"/>
        </w:numPr>
        <w:tabs>
          <w:tab w:val="left" w:pos="567"/>
          <w:tab w:val="num" w:pos="1569"/>
          <w:tab w:val="num" w:pos="12305"/>
        </w:tabs>
        <w:spacing w:line="240" w:lineRule="auto"/>
        <w:ind w:left="0" w:firstLine="0"/>
      </w:pPr>
      <w:r w:rsidRPr="00F0074A">
        <w:t xml:space="preserve">La </w:t>
      </w:r>
      <w:r w:rsidRPr="00100F11">
        <w:rPr>
          <w:b/>
          <w:i/>
        </w:rPr>
        <w:t>Comisión</w:t>
      </w:r>
      <w:r w:rsidRPr="00F0074A">
        <w:t xml:space="preserve"> sostuvo, en relación con la motivación de la detención preventiva impuesta al señor Jenkins, que no existió una motivación individualizada sobre los fines procesales perseguidos mediante la detención preventiva y que, por el contrario, la misma tuvo como base la existencia de indicios de responsabilidad, constituyéndose en una anticipación de la pena y no una medida cautelar. La Comisión concluyó que desde su inicio la detención preventiva del señor Jenkins fue arbitraria y desconoció el principio de presunción de inocencia, en violación de los artículos 7.3 y 8.2 de la Convención.</w:t>
      </w:r>
      <w:r w:rsidRPr="00100F11">
        <w:rPr>
          <w:b/>
        </w:rPr>
        <w:t xml:space="preserve"> </w:t>
      </w:r>
      <w:r w:rsidR="00D8493A" w:rsidRPr="00F0074A">
        <w:tab/>
      </w:r>
    </w:p>
    <w:p w14:paraId="3582DD12" w14:textId="77777777" w:rsidR="00100F11" w:rsidRPr="00F0074A" w:rsidRDefault="00100F11" w:rsidP="00100F11">
      <w:pPr>
        <w:tabs>
          <w:tab w:val="left" w:pos="567"/>
          <w:tab w:val="num" w:pos="12305"/>
        </w:tabs>
        <w:spacing w:line="240" w:lineRule="auto"/>
      </w:pPr>
    </w:p>
    <w:p w14:paraId="0AB5268F" w14:textId="77777777" w:rsidR="00477B00" w:rsidRPr="00F0074A" w:rsidRDefault="00477B00" w:rsidP="00E06F63">
      <w:pPr>
        <w:numPr>
          <w:ilvl w:val="0"/>
          <w:numId w:val="11"/>
        </w:numPr>
        <w:tabs>
          <w:tab w:val="left" w:pos="567"/>
          <w:tab w:val="num" w:pos="1569"/>
          <w:tab w:val="num" w:pos="12305"/>
        </w:tabs>
        <w:spacing w:line="240" w:lineRule="auto"/>
        <w:ind w:left="0" w:firstLine="0"/>
      </w:pPr>
      <w:r w:rsidRPr="00F0074A">
        <w:t xml:space="preserve">Los </w:t>
      </w:r>
      <w:r w:rsidRPr="00F0074A">
        <w:rPr>
          <w:b/>
          <w:i/>
        </w:rPr>
        <w:t>representantes</w:t>
      </w:r>
      <w:r w:rsidRPr="00F0074A">
        <w:t xml:space="preserve"> coincidieron con lo argumentado por la Comisión.</w:t>
      </w:r>
    </w:p>
    <w:p w14:paraId="6294F4D1" w14:textId="77777777" w:rsidR="001C75B2" w:rsidRPr="00F0074A" w:rsidRDefault="001C75B2" w:rsidP="00E06F63">
      <w:pPr>
        <w:tabs>
          <w:tab w:val="left" w:pos="567"/>
        </w:tabs>
        <w:spacing w:line="240" w:lineRule="auto"/>
      </w:pPr>
    </w:p>
    <w:p w14:paraId="0780F0F6" w14:textId="77777777" w:rsidR="00D8493A" w:rsidRPr="00F0074A" w:rsidRDefault="00324FD8" w:rsidP="00E06F63">
      <w:pPr>
        <w:numPr>
          <w:ilvl w:val="0"/>
          <w:numId w:val="11"/>
        </w:numPr>
        <w:tabs>
          <w:tab w:val="left" w:pos="567"/>
          <w:tab w:val="num" w:pos="1569"/>
          <w:tab w:val="num" w:pos="12305"/>
        </w:tabs>
        <w:spacing w:line="240" w:lineRule="auto"/>
        <w:ind w:left="0" w:firstLine="0"/>
      </w:pPr>
      <w:r w:rsidRPr="00F0074A">
        <w:t xml:space="preserve">El </w:t>
      </w:r>
      <w:r w:rsidRPr="00F0074A">
        <w:rPr>
          <w:b/>
          <w:i/>
        </w:rPr>
        <w:t>Estado</w:t>
      </w:r>
      <w:r w:rsidRPr="00F0074A">
        <w:t xml:space="preserve"> no realizó un alegato específico sobre este punto en particular.</w:t>
      </w:r>
    </w:p>
    <w:p w14:paraId="78A8CA95" w14:textId="77777777" w:rsidR="00D60CA8" w:rsidRPr="00F0074A" w:rsidRDefault="00D8493A" w:rsidP="00E06F63">
      <w:pPr>
        <w:pStyle w:val="Ttulo3"/>
      </w:pPr>
      <w:r w:rsidRPr="00F0074A">
        <w:tab/>
      </w:r>
      <w:bookmarkStart w:id="67" w:name="_Toc27405429"/>
      <w:r w:rsidR="00D60CA8" w:rsidRPr="00F0074A">
        <w:t>a.2 Duración de la prisión preventiva</w:t>
      </w:r>
      <w:bookmarkEnd w:id="67"/>
    </w:p>
    <w:p w14:paraId="7E709F53" w14:textId="61B6ECE9" w:rsidR="00595ECD" w:rsidRPr="00F0074A" w:rsidRDefault="00D60CA8" w:rsidP="00E06F63">
      <w:pPr>
        <w:numPr>
          <w:ilvl w:val="0"/>
          <w:numId w:val="11"/>
        </w:numPr>
        <w:tabs>
          <w:tab w:val="left" w:pos="567"/>
          <w:tab w:val="num" w:pos="1569"/>
          <w:tab w:val="num" w:pos="12305"/>
        </w:tabs>
        <w:spacing w:line="240" w:lineRule="auto"/>
        <w:ind w:left="0" w:firstLine="0"/>
      </w:pPr>
      <w:r w:rsidRPr="00F0074A">
        <w:t xml:space="preserve">Con respecto al lapso de tiempo en el que el señor Jenkins estuvo privado de su libertad en detención preventiva, la </w:t>
      </w:r>
      <w:r w:rsidRPr="00F0074A">
        <w:rPr>
          <w:b/>
          <w:i/>
        </w:rPr>
        <w:t>Comisión</w:t>
      </w:r>
      <w:r w:rsidRPr="00F0074A">
        <w:t xml:space="preserve"> resaltó que durante dicho lapso no se efectuó de oficio una revisión periódica sobre la necesidad de mantener la detención preventiva. Según la Comisión, el marco legal aplicable –esto es, el artículo 10 de la Ley </w:t>
      </w:r>
      <w:r w:rsidR="002C0A4A">
        <w:t xml:space="preserve">No. </w:t>
      </w:r>
      <w:r w:rsidRPr="00F0074A">
        <w:t>24.390 que excluía de la aplicación del plazo máximo de detención preventiva a los delitos rel</w:t>
      </w:r>
      <w:r w:rsidR="00D6244C">
        <w:t>acionados con narcotráfico– ponía</w:t>
      </w:r>
      <w:r w:rsidRPr="00F0074A">
        <w:t xml:space="preserve"> en evidencia que la duración de la detención preventiva del señor Jenkins se basó en su aplicación automática y en la prohibición de excarcelación cuando se trataba de ciertos delitos, específicamente el de tráfico de estupefacientes</w:t>
      </w:r>
      <w:r w:rsidR="00413CC7" w:rsidRPr="00F0074A">
        <w:t>.</w:t>
      </w:r>
      <w:r w:rsidRPr="00F0074A">
        <w:t xml:space="preserve"> </w:t>
      </w:r>
      <w:r w:rsidR="00413CC7" w:rsidRPr="00F0074A">
        <w:t xml:space="preserve">A este respecto, la Comisión concluyó que la duración de tres años y cinco meses de la detención preventiva del señor Jenkins fue excesiva en sus términos, lo que violó el principio de la razonabilidad establecida en el artículo 7.5 de la Convención. Asimismo, dicha detención constituyó una anticipación de la pena en violación del principio de presunción de inocencia contemplado en el artículo 8.2 de la Convención. Igualmente, esta demora también estuvo relacionada con el proceso penal en sí mismo y ante la falta de justificación por parte del Estado de </w:t>
      </w:r>
      <w:r w:rsidR="00997C54">
        <w:t xml:space="preserve">la duración de la prisión preventiva a la luz de los criterios tomados en cuenta reiteradamente en </w:t>
      </w:r>
      <w:r w:rsidR="00413CC7" w:rsidRPr="00F0074A">
        <w:t>la jurisprudencia interamericana, la Comisión también considera que se violó la garantía de plazo razonable contenida en el artículo 8.1 de la Convención.</w:t>
      </w:r>
      <w:r w:rsidR="00413CC7" w:rsidRPr="00F0074A">
        <w:rPr>
          <w:b/>
        </w:rPr>
        <w:t xml:space="preserve"> </w:t>
      </w:r>
    </w:p>
    <w:p w14:paraId="419D3441" w14:textId="77777777" w:rsidR="00595ECD" w:rsidRPr="00F0074A" w:rsidRDefault="00595ECD" w:rsidP="00595ECD">
      <w:pPr>
        <w:tabs>
          <w:tab w:val="left" w:pos="567"/>
        </w:tabs>
        <w:spacing w:line="240" w:lineRule="auto"/>
      </w:pPr>
    </w:p>
    <w:p w14:paraId="46EA7A41" w14:textId="169AF476" w:rsidR="00D60CA8" w:rsidRPr="00F0074A" w:rsidRDefault="00413CC7" w:rsidP="00E06F63">
      <w:pPr>
        <w:numPr>
          <w:ilvl w:val="0"/>
          <w:numId w:val="11"/>
        </w:numPr>
        <w:tabs>
          <w:tab w:val="left" w:pos="567"/>
          <w:tab w:val="num" w:pos="1569"/>
          <w:tab w:val="num" w:pos="12305"/>
        </w:tabs>
        <w:spacing w:line="240" w:lineRule="auto"/>
        <w:ind w:left="0" w:firstLine="0"/>
      </w:pPr>
      <w:r w:rsidRPr="00F0074A">
        <w:t>Por último</w:t>
      </w:r>
      <w:r w:rsidR="00FE4D0B">
        <w:t>,</w:t>
      </w:r>
      <w:r w:rsidRPr="00F0074A">
        <w:t xml:space="preserve"> la Comisión indicó que el artículo 10 de la Ley </w:t>
      </w:r>
      <w:r w:rsidR="00FE4D0B">
        <w:t xml:space="preserve">No. </w:t>
      </w:r>
      <w:r w:rsidRPr="00F0074A">
        <w:t>24.390 efectuó una diferencia de trato en su aplicación entre aquellas personas que se encuentran procesadas por delitos relacionados con el tráfico de estupefacientes y aquellas procesadas por otros delitos. Según la Comisión, esta diferencia de trato no estaba justificada toda vez</w:t>
      </w:r>
      <w:r w:rsidR="004C6365" w:rsidRPr="00F0074A">
        <w:t xml:space="preserve"> </w:t>
      </w:r>
      <w:r w:rsidRPr="00F0074A">
        <w:t>que el requisito</w:t>
      </w:r>
      <w:r w:rsidR="00BE6554">
        <w:t xml:space="preserve"> </w:t>
      </w:r>
      <w:r w:rsidRPr="00F0074A">
        <w:t>de necesidad no se encontraba satisfecho, por lo que</w:t>
      </w:r>
      <w:r w:rsidR="004C6365" w:rsidRPr="00F0074A">
        <w:t xml:space="preserve"> </w:t>
      </w:r>
      <w:r w:rsidR="002758CE" w:rsidRPr="00F0074A">
        <w:t>su aplicación en el caso concreto y la consecuente restricción en el ejercicio del derecho la libertad personal, resultaron arbitrarias y, por lo tanto, violatorias del principio de igualdad y no discriminación y del derecho a la libertad personal establecidos en los artículos 7 y 24 de la Convención Americana en relación con las obligac</w:t>
      </w:r>
      <w:r w:rsidR="008D46B3">
        <w:t xml:space="preserve">iones contenidas en los </w:t>
      </w:r>
      <w:r w:rsidR="00100F11">
        <w:t>artículo</w:t>
      </w:r>
      <w:r w:rsidR="00100F11" w:rsidRPr="00F0074A">
        <w:t>s</w:t>
      </w:r>
      <w:r w:rsidR="002758CE" w:rsidRPr="00F0074A">
        <w:t xml:space="preserve"> 1.1 y 2 del mismo instrumento</w:t>
      </w:r>
      <w:r w:rsidR="002758CE" w:rsidRPr="00F0074A">
        <w:rPr>
          <w:rFonts w:eastAsiaTheme="minorHAnsi"/>
          <w:color w:val="363636"/>
          <w:lang w:eastAsia="en-US"/>
        </w:rPr>
        <w:t>.</w:t>
      </w:r>
    </w:p>
    <w:p w14:paraId="2C60E4E2" w14:textId="77777777" w:rsidR="00477B00" w:rsidRPr="00F0074A" w:rsidRDefault="00477B00" w:rsidP="00E06F63">
      <w:pPr>
        <w:tabs>
          <w:tab w:val="left" w:pos="567"/>
        </w:tabs>
        <w:spacing w:line="240" w:lineRule="auto"/>
      </w:pPr>
    </w:p>
    <w:p w14:paraId="1C3980B4" w14:textId="7DD07B41" w:rsidR="00477B00" w:rsidRPr="00F0074A" w:rsidRDefault="00477B00" w:rsidP="00E06F63">
      <w:pPr>
        <w:numPr>
          <w:ilvl w:val="0"/>
          <w:numId w:val="11"/>
        </w:numPr>
        <w:tabs>
          <w:tab w:val="left" w:pos="567"/>
        </w:tabs>
        <w:autoSpaceDE w:val="0"/>
        <w:autoSpaceDN w:val="0"/>
        <w:spacing w:line="240" w:lineRule="auto"/>
        <w:ind w:left="0" w:firstLine="0"/>
        <w:rPr>
          <w:b/>
        </w:rPr>
      </w:pPr>
      <w:r w:rsidRPr="00F0074A">
        <w:t xml:space="preserve">Los </w:t>
      </w:r>
      <w:r w:rsidRPr="00F0074A">
        <w:rPr>
          <w:b/>
          <w:i/>
        </w:rPr>
        <w:t>representantes</w:t>
      </w:r>
      <w:r w:rsidRPr="00F0074A">
        <w:t xml:space="preserve"> coincidieron con lo argumentado por la Comisión. Precisaron que la prohibición de excarcelación contempla</w:t>
      </w:r>
      <w:r w:rsidR="00FE4D0B">
        <w:t>da en el artículo 10 de la Ley N</w:t>
      </w:r>
      <w:r w:rsidRPr="00F0074A">
        <w:t>o. 24.390 no era razon</w:t>
      </w:r>
      <w:r w:rsidR="00595ECD" w:rsidRPr="00F0074A">
        <w:t>able porque no protegía</w:t>
      </w:r>
      <w:r w:rsidRPr="00F0074A">
        <w:t xml:space="preserve"> bienes jurídicos esenciales, pues inclusive aquellos delitos cuyo bien jurídico protegido es la vida, como </w:t>
      </w:r>
      <w:r w:rsidR="00D6244C">
        <w:t>el homicidio calificado, admitían</w:t>
      </w:r>
      <w:r w:rsidRPr="00F0074A">
        <w:t xml:space="preserve"> excarcelación. Asimismo</w:t>
      </w:r>
      <w:r w:rsidR="00595ECD" w:rsidRPr="00F0074A">
        <w:t>,</w:t>
      </w:r>
      <w:r w:rsidRPr="00F0074A">
        <w:t xml:space="preserve"> destacaron que en la audiencia pública celebrada ante este Tribunal, el Estado señaló que la Corte Suprema en </w:t>
      </w:r>
      <w:r w:rsidRPr="00F0074A">
        <w:lastRenderedPageBreak/>
        <w:t xml:space="preserve">el año 2010 declaró inconstitucional </w:t>
      </w:r>
      <w:r w:rsidR="00C32837" w:rsidRPr="00F0074A">
        <w:t xml:space="preserve">el artículo 10 de </w:t>
      </w:r>
      <w:r w:rsidRPr="00F0074A">
        <w:t xml:space="preserve">la Ley </w:t>
      </w:r>
      <w:r w:rsidR="00FE4D0B">
        <w:t>N</w:t>
      </w:r>
      <w:r w:rsidR="00A326C1" w:rsidRPr="00F0074A">
        <w:t xml:space="preserve">o. </w:t>
      </w:r>
      <w:r w:rsidRPr="00F0074A">
        <w:t xml:space="preserve">24.390 y ello constituía una actualización de la legislación interna en sintonía con la normativa internacional ratificada y vigente. </w:t>
      </w:r>
    </w:p>
    <w:p w14:paraId="650B419F" w14:textId="77777777" w:rsidR="00D8493A" w:rsidRPr="00F0074A" w:rsidRDefault="00D8493A" w:rsidP="00E06F63">
      <w:pPr>
        <w:tabs>
          <w:tab w:val="left" w:pos="567"/>
        </w:tabs>
        <w:autoSpaceDE w:val="0"/>
        <w:autoSpaceDN w:val="0"/>
        <w:spacing w:line="240" w:lineRule="auto"/>
        <w:rPr>
          <w:b/>
        </w:rPr>
      </w:pPr>
    </w:p>
    <w:p w14:paraId="7BE14E7E" w14:textId="37A3FA89" w:rsidR="00477B00" w:rsidRPr="00F0074A" w:rsidRDefault="001C75B2" w:rsidP="00E06F63">
      <w:pPr>
        <w:numPr>
          <w:ilvl w:val="0"/>
          <w:numId w:val="11"/>
        </w:numPr>
        <w:tabs>
          <w:tab w:val="left" w:pos="567"/>
          <w:tab w:val="num" w:pos="1569"/>
          <w:tab w:val="num" w:pos="12305"/>
        </w:tabs>
        <w:spacing w:line="240" w:lineRule="auto"/>
        <w:ind w:left="0" w:firstLine="0"/>
      </w:pPr>
      <w:r w:rsidRPr="00F0074A">
        <w:t xml:space="preserve">En cuanto a la duración de la prisión preventiva, el </w:t>
      </w:r>
      <w:r w:rsidRPr="00F0074A">
        <w:rPr>
          <w:b/>
          <w:i/>
        </w:rPr>
        <w:t>Estado</w:t>
      </w:r>
      <w:r w:rsidRPr="00F0074A">
        <w:t xml:space="preserve"> i</w:t>
      </w:r>
      <w:r w:rsidR="00595ECD" w:rsidRPr="00F0074A">
        <w:t>ndicó que el señor Jenkins sí contó</w:t>
      </w:r>
      <w:r w:rsidRPr="00F0074A">
        <w:t xml:space="preserve"> con la posibilidad de obtener la revisión de la medida cautelar. Añadió que las decisiones que rechazaron la excarcelación no tuvieron por exclusivo fundamento el artículo 10 de la Ley </w:t>
      </w:r>
      <w:r w:rsidR="002C0A4A">
        <w:t xml:space="preserve">No. </w:t>
      </w:r>
      <w:r w:rsidRPr="00F0074A">
        <w:t xml:space="preserve">24.390, sino que también se basaron en las disposiciones relevantes del Código Procesal, en la medida que los agravios planteados por el recurrente lo permitían. </w:t>
      </w:r>
      <w:r w:rsidR="00D8493A" w:rsidRPr="00F0074A">
        <w:t>Asimismo,</w:t>
      </w:r>
      <w:r w:rsidR="00D8493A" w:rsidRPr="00F0074A">
        <w:rPr>
          <w:b/>
        </w:rPr>
        <w:t xml:space="preserve"> </w:t>
      </w:r>
      <w:r w:rsidR="00D8493A" w:rsidRPr="00F0074A">
        <w:t xml:space="preserve">teniendo en consideración aquellos elementos del proceso penal y su complejidad, la duración de éste </w:t>
      </w:r>
      <w:r w:rsidR="00A326C1" w:rsidRPr="00F0074A">
        <w:t>-</w:t>
      </w:r>
      <w:r w:rsidR="00D8493A" w:rsidRPr="00F0074A">
        <w:t xml:space="preserve">que se extendió seis meses más de la duración del plazo legal previsto en el artículo 1 de la Ley </w:t>
      </w:r>
      <w:r w:rsidR="00100F11">
        <w:t>N</w:t>
      </w:r>
      <w:r w:rsidR="00A326C1" w:rsidRPr="00F0074A">
        <w:t xml:space="preserve">o. </w:t>
      </w:r>
      <w:r w:rsidR="00D8493A" w:rsidRPr="00F0074A">
        <w:t>4.390</w:t>
      </w:r>
      <w:r w:rsidR="00A326C1" w:rsidRPr="00F0074A">
        <w:t>-</w:t>
      </w:r>
      <w:r w:rsidR="00B5003F">
        <w:t xml:space="preserve"> </w:t>
      </w:r>
      <w:r w:rsidR="00D8493A" w:rsidRPr="00F0074A">
        <w:t xml:space="preserve">no aparecía irrazonable. </w:t>
      </w:r>
    </w:p>
    <w:p w14:paraId="0D8D40E5" w14:textId="77777777" w:rsidR="00413CC7" w:rsidRPr="00F0074A" w:rsidRDefault="00413CC7" w:rsidP="00E06F63">
      <w:pPr>
        <w:pStyle w:val="Ttulo3"/>
      </w:pPr>
      <w:r w:rsidRPr="00F0074A">
        <w:tab/>
      </w:r>
      <w:bookmarkStart w:id="68" w:name="_Toc27405430"/>
      <w:r w:rsidRPr="00F0074A">
        <w:t>a.3 Efectividad de los recursos para cuestionar la privación de libertad</w:t>
      </w:r>
      <w:bookmarkEnd w:id="68"/>
    </w:p>
    <w:p w14:paraId="7EFF5440" w14:textId="41AB831B" w:rsidR="00D60CA8" w:rsidRPr="00F0074A" w:rsidRDefault="00D60CA8" w:rsidP="00E06F63">
      <w:pPr>
        <w:numPr>
          <w:ilvl w:val="0"/>
          <w:numId w:val="11"/>
        </w:numPr>
        <w:tabs>
          <w:tab w:val="left" w:pos="567"/>
          <w:tab w:val="num" w:pos="1569"/>
          <w:tab w:val="num" w:pos="12305"/>
        </w:tabs>
        <w:spacing w:line="240" w:lineRule="auto"/>
        <w:ind w:left="0" w:firstLine="0"/>
      </w:pPr>
      <w:r w:rsidRPr="00F0074A">
        <w:t xml:space="preserve">La </w:t>
      </w:r>
      <w:r w:rsidRPr="00F0074A">
        <w:rPr>
          <w:b/>
          <w:i/>
        </w:rPr>
        <w:t>Comisión</w:t>
      </w:r>
      <w:r w:rsidRPr="00F0074A">
        <w:t xml:space="preserve"> </w:t>
      </w:r>
      <w:r w:rsidR="00413CC7" w:rsidRPr="00F0074A">
        <w:t>advirtió</w:t>
      </w:r>
      <w:r w:rsidRPr="00F0074A">
        <w:t xml:space="preserve"> que las resoluciones que negaron los recursos de inconstitucionalidad </w:t>
      </w:r>
      <w:r w:rsidR="00413CC7" w:rsidRPr="00F0074A">
        <w:t>interpuestos por el señor Jenkins para solicitar su excarcelación</w:t>
      </w:r>
      <w:r w:rsidRPr="00F0074A">
        <w:t xml:space="preserve"> se basaron exclusivamente en la naturaleza o la gravedad de la pena atribuida a los delitos por los cuales fue procesado la presunta víctima, sin analizar ni justificar si se cumplían </w:t>
      </w:r>
      <w:r w:rsidRPr="00F0074A">
        <w:rPr>
          <w:rFonts w:eastAsiaTheme="minorHAnsi"/>
          <w:lang w:eastAsia="en-US"/>
        </w:rPr>
        <w:t xml:space="preserve">los fines procesales que están llamado a </w:t>
      </w:r>
      <w:r w:rsidRPr="00F0074A">
        <w:t>verificar</w:t>
      </w:r>
      <w:r w:rsidRPr="00F0074A">
        <w:rPr>
          <w:rFonts w:eastAsiaTheme="minorHAnsi"/>
          <w:lang w:eastAsia="en-US"/>
        </w:rPr>
        <w:t xml:space="preserve"> de conformidad con sus obligaciones bajo la Convenci</w:t>
      </w:r>
      <w:r w:rsidRPr="00F0074A">
        <w:t xml:space="preserve">ón Americana. La Comisión concluyó que </w:t>
      </w:r>
      <w:r w:rsidR="00413CC7" w:rsidRPr="00F0074A">
        <w:t>los recursos judiciales interpuestos no posibilitaron una revisión sin demora y efectiva tanto de la motivación como de la duración de la detención preventiva a la luz de los estándares descritos, lo que resultó en una violación de los artículos 7.6 y 25.1 de la Convención Americana.</w:t>
      </w:r>
    </w:p>
    <w:p w14:paraId="24500AE5" w14:textId="77777777" w:rsidR="00477B00" w:rsidRPr="00F0074A" w:rsidRDefault="00477B00" w:rsidP="00E06F63">
      <w:pPr>
        <w:tabs>
          <w:tab w:val="left" w:pos="567"/>
        </w:tabs>
        <w:spacing w:line="240" w:lineRule="auto"/>
      </w:pPr>
    </w:p>
    <w:p w14:paraId="2DBEBF8B" w14:textId="6014A9B3" w:rsidR="00477B00" w:rsidRPr="00F0074A" w:rsidRDefault="00477B00" w:rsidP="00E06F63">
      <w:pPr>
        <w:numPr>
          <w:ilvl w:val="0"/>
          <w:numId w:val="11"/>
        </w:numPr>
        <w:tabs>
          <w:tab w:val="left" w:pos="567"/>
          <w:tab w:val="num" w:pos="1569"/>
          <w:tab w:val="num" w:pos="12305"/>
        </w:tabs>
        <w:spacing w:line="240" w:lineRule="auto"/>
        <w:ind w:left="0" w:firstLine="0"/>
      </w:pPr>
      <w:r w:rsidRPr="00F0074A">
        <w:t xml:space="preserve">Los </w:t>
      </w:r>
      <w:r w:rsidRPr="00F0074A">
        <w:rPr>
          <w:b/>
          <w:i/>
        </w:rPr>
        <w:t>representantes</w:t>
      </w:r>
      <w:r w:rsidRPr="00F0074A">
        <w:t xml:space="preserve"> indicaron que el señor Jenkins interpuso un sinnúmero de recursos y acciones jurisdiccionales tendientes a tutelar su libertad, sin que ninguno de ellos prosperase ni en los plazos oportunos ni en el fondo denunciado. </w:t>
      </w:r>
    </w:p>
    <w:p w14:paraId="09C714DC" w14:textId="77777777" w:rsidR="00477B00" w:rsidRPr="00F0074A" w:rsidRDefault="00477B00" w:rsidP="00E06F63">
      <w:pPr>
        <w:tabs>
          <w:tab w:val="left" w:pos="567"/>
        </w:tabs>
        <w:spacing w:line="240" w:lineRule="auto"/>
      </w:pPr>
    </w:p>
    <w:p w14:paraId="3577FBD6" w14:textId="29502772" w:rsidR="00477B00" w:rsidRPr="00F0074A" w:rsidRDefault="00477B00" w:rsidP="00E06F63">
      <w:pPr>
        <w:numPr>
          <w:ilvl w:val="0"/>
          <w:numId w:val="11"/>
        </w:numPr>
        <w:tabs>
          <w:tab w:val="left" w:pos="567"/>
          <w:tab w:val="num" w:pos="1569"/>
          <w:tab w:val="num" w:pos="12305"/>
        </w:tabs>
        <w:spacing w:line="240" w:lineRule="auto"/>
        <w:ind w:left="0" w:firstLine="0"/>
      </w:pPr>
      <w:r w:rsidRPr="00F0074A">
        <w:t xml:space="preserve">El </w:t>
      </w:r>
      <w:r w:rsidRPr="00F0074A">
        <w:rPr>
          <w:b/>
          <w:i/>
        </w:rPr>
        <w:t>Estado</w:t>
      </w:r>
      <w:r w:rsidRPr="00F0074A">
        <w:t xml:space="preserve">, por su parte, indicó que el señor Jenkins accedió efectivamente a los recursos orientados a cuestionar la prisión. </w:t>
      </w:r>
      <w:r w:rsidR="001C75B2" w:rsidRPr="00F0074A">
        <w:t xml:space="preserve">Observó además que </w:t>
      </w:r>
      <w:r w:rsidRPr="00F0074A">
        <w:t>los recursos que intentó el señor Jenkins no fueron promovidos eficazmente en pos de cuestionar la duración del plazo de prisión preventiva.</w:t>
      </w:r>
      <w:r w:rsidR="001C75B2" w:rsidRPr="00F0074A">
        <w:t xml:space="preserve"> Resaltó que la solicitud de excarcelación interpuesta por el señor Jenkins se ocupó de alegar largamente en relación a la constitucionalidad de la norma, pero en modo alguno sustentó su solicitud de soltura argumentando que el señor Jenkins no comportaba riesgo procesal para la investigación. </w:t>
      </w:r>
    </w:p>
    <w:p w14:paraId="57051842" w14:textId="0839798D" w:rsidR="00061A1C" w:rsidRPr="00F0074A" w:rsidRDefault="00E04DEA" w:rsidP="00061A1C">
      <w:pPr>
        <w:pStyle w:val="Ttulo2"/>
      </w:pPr>
      <w:bookmarkStart w:id="69" w:name="_Toc27405431"/>
      <w:r w:rsidRPr="00F0074A">
        <w:t>B.</w:t>
      </w:r>
      <w:r w:rsidRPr="00F0074A">
        <w:tab/>
      </w:r>
      <w:r w:rsidR="00390E2D">
        <w:t xml:space="preserve"> </w:t>
      </w:r>
      <w:r w:rsidRPr="00F0074A">
        <w:t>Consideraciones de la Corte</w:t>
      </w:r>
      <w:bookmarkEnd w:id="69"/>
    </w:p>
    <w:p w14:paraId="79807BCF" w14:textId="2B1C3751" w:rsidR="006A14B8" w:rsidRPr="00F0074A" w:rsidRDefault="00512FE3" w:rsidP="0061213A">
      <w:pPr>
        <w:numPr>
          <w:ilvl w:val="0"/>
          <w:numId w:val="11"/>
        </w:numPr>
        <w:tabs>
          <w:tab w:val="left" w:pos="567"/>
          <w:tab w:val="num" w:pos="1569"/>
          <w:tab w:val="num" w:pos="12305"/>
        </w:tabs>
        <w:spacing w:line="240" w:lineRule="auto"/>
        <w:ind w:left="0" w:firstLine="0"/>
        <w:rPr>
          <w:rFonts w:eastAsia="Calibri"/>
        </w:rPr>
      </w:pPr>
      <w:r w:rsidRPr="007547EB">
        <w:t xml:space="preserve">La Corte ha sostenido que el contenido esencial del artículo 7 de la Convención Americana es la protección de la libertad del individuo contra toda interferencia arbitraria o ilegal del </w:t>
      </w:r>
      <w:r w:rsidRPr="0074344E">
        <w:rPr>
          <w:lang w:val="es-CO"/>
        </w:rPr>
        <w:t>Estado</w:t>
      </w:r>
      <w:r w:rsidRPr="007547EB">
        <w:rPr>
          <w:rStyle w:val="Refdenotaalpie"/>
        </w:rPr>
        <w:footnoteReference w:id="59"/>
      </w:r>
      <w:r w:rsidRPr="007547EB">
        <w:t>. Ha afirmado que este artículo tiene dos tipos de regulaciones bien diferenciadas entre sí, una general y otra específica</w:t>
      </w:r>
      <w:r w:rsidR="006A14B8" w:rsidRPr="00F0074A">
        <w:rPr>
          <w:rFonts w:eastAsia="Calibri"/>
        </w:rPr>
        <w:t xml:space="preserve">. La general se encuentra en el primer numeral: “[t]oda persona tiene el derecho a la libertad y a la seguridad personales”. Mientras que la específica está compuesta por una serie de garantías que protegen el derecho a no ser privado </w:t>
      </w:r>
      <w:r w:rsidR="00061E05">
        <w:rPr>
          <w:rFonts w:eastAsia="Calibri"/>
        </w:rPr>
        <w:t>de la libertad ilegalmente (artículo</w:t>
      </w:r>
      <w:r w:rsidR="006A14B8" w:rsidRPr="00F0074A">
        <w:rPr>
          <w:rFonts w:eastAsia="Calibri"/>
        </w:rPr>
        <w:t xml:space="preserve"> 7.2) o arbitrariamente (</w:t>
      </w:r>
      <w:r w:rsidR="00061E05">
        <w:rPr>
          <w:rFonts w:eastAsia="Calibri"/>
        </w:rPr>
        <w:t>artículo</w:t>
      </w:r>
      <w:r w:rsidR="006A14B8" w:rsidRPr="00F0074A">
        <w:rPr>
          <w:rFonts w:eastAsia="Calibri"/>
        </w:rPr>
        <w:t xml:space="preserve"> 7.3), a conocer las razones de la detención y los cargos formulados en contra del detenido (</w:t>
      </w:r>
      <w:r w:rsidR="00061E05">
        <w:rPr>
          <w:rFonts w:eastAsia="Calibri"/>
        </w:rPr>
        <w:t>artículo</w:t>
      </w:r>
      <w:r w:rsidR="006A14B8" w:rsidRPr="00F0074A">
        <w:rPr>
          <w:rFonts w:eastAsia="Calibri"/>
        </w:rPr>
        <w:t xml:space="preserve"> 7.4), al control judicial de la privación de la libertad y la razonabilidad del plazo de la prisión preventiva (</w:t>
      </w:r>
      <w:r w:rsidR="00061E05">
        <w:rPr>
          <w:rFonts w:eastAsia="Calibri"/>
        </w:rPr>
        <w:t>artículo</w:t>
      </w:r>
      <w:r w:rsidR="006A14B8" w:rsidRPr="00F0074A">
        <w:rPr>
          <w:rFonts w:eastAsia="Calibri"/>
        </w:rPr>
        <w:t xml:space="preserve"> 7.5), a impugnar la legalidad de la detención (</w:t>
      </w:r>
      <w:r w:rsidR="00061E05">
        <w:rPr>
          <w:rFonts w:eastAsia="Calibri"/>
        </w:rPr>
        <w:t>artículo</w:t>
      </w:r>
      <w:r w:rsidR="006A14B8" w:rsidRPr="00F0074A">
        <w:rPr>
          <w:rFonts w:eastAsia="Calibri"/>
        </w:rPr>
        <w:t xml:space="preserve"> </w:t>
      </w:r>
      <w:r w:rsidR="006A14B8" w:rsidRPr="00F0074A">
        <w:rPr>
          <w:rFonts w:eastAsia="Calibri"/>
        </w:rPr>
        <w:lastRenderedPageBreak/>
        <w:t>7.6) y a no ser detenido por deudas (</w:t>
      </w:r>
      <w:r w:rsidR="00061E05">
        <w:rPr>
          <w:rFonts w:eastAsia="Calibri"/>
        </w:rPr>
        <w:t>artículo</w:t>
      </w:r>
      <w:r w:rsidR="006A14B8" w:rsidRPr="00F0074A">
        <w:rPr>
          <w:rFonts w:eastAsia="Calibri"/>
        </w:rPr>
        <w:t xml:space="preserve"> 7.7)</w:t>
      </w:r>
      <w:r w:rsidR="006A14B8" w:rsidRPr="00F0074A">
        <w:rPr>
          <w:rFonts w:eastAsia="Calibri"/>
          <w:spacing w:val="-2"/>
          <w:vertAlign w:val="superscript"/>
        </w:rPr>
        <w:footnoteReference w:id="60"/>
      </w:r>
      <w:r w:rsidR="006A14B8" w:rsidRPr="00F0074A">
        <w:rPr>
          <w:rFonts w:eastAsia="Calibri"/>
        </w:rPr>
        <w:t>. Cualquier violación de los numerales 2 al 7 del artículo 7 de la Convención acarreará necesariamente la violación del artículo 7.1 de la misma</w:t>
      </w:r>
      <w:r w:rsidR="006A14B8" w:rsidRPr="00F0074A">
        <w:rPr>
          <w:rFonts w:eastAsia="Calibri"/>
          <w:spacing w:val="-2"/>
          <w:vertAlign w:val="superscript"/>
        </w:rPr>
        <w:footnoteReference w:id="61"/>
      </w:r>
      <w:r w:rsidR="00595ECD" w:rsidRPr="00F0074A">
        <w:rPr>
          <w:rFonts w:eastAsia="Calibri"/>
        </w:rPr>
        <w:t xml:space="preserve">. </w:t>
      </w:r>
    </w:p>
    <w:p w14:paraId="511A9A40" w14:textId="77777777" w:rsidR="006A14B8" w:rsidRPr="00F0074A" w:rsidRDefault="00B21AF4" w:rsidP="00407D53">
      <w:pPr>
        <w:pStyle w:val="Ttulo3"/>
      </w:pPr>
      <w:r w:rsidRPr="00F0074A">
        <w:tab/>
      </w:r>
      <w:bookmarkStart w:id="70" w:name="_Toc27405432"/>
      <w:r w:rsidRPr="00F0074A">
        <w:t xml:space="preserve">b.1 </w:t>
      </w:r>
      <w:r w:rsidR="00407D53" w:rsidRPr="00F0074A">
        <w:t>Orden inicial de prisión preventiva</w:t>
      </w:r>
      <w:bookmarkEnd w:id="70"/>
      <w:r w:rsidR="00D826BD">
        <w:t xml:space="preserve"> </w:t>
      </w:r>
    </w:p>
    <w:p w14:paraId="049C7261" w14:textId="06CC9FE4" w:rsidR="006A14B8" w:rsidRPr="00F0074A" w:rsidRDefault="00595ECD" w:rsidP="00E06F63">
      <w:pPr>
        <w:numPr>
          <w:ilvl w:val="0"/>
          <w:numId w:val="11"/>
        </w:numPr>
        <w:tabs>
          <w:tab w:val="left" w:pos="567"/>
          <w:tab w:val="num" w:pos="1569"/>
          <w:tab w:val="num" w:pos="12305"/>
        </w:tabs>
        <w:spacing w:line="240" w:lineRule="auto"/>
        <w:ind w:left="0" w:firstLine="0"/>
        <w:rPr>
          <w:rFonts w:eastAsia="Batang"/>
          <w:lang w:eastAsia="en-US"/>
        </w:rPr>
      </w:pPr>
      <w:r w:rsidRPr="00F0074A">
        <w:rPr>
          <w:rFonts w:eastAsia="Calibri"/>
        </w:rPr>
        <w:t>Conforme a la jurisprudencia de este Tribunal, la prisión preventiva es la medida más severa que se puede aplicar al imputado de un delito, motivo por el cual su aplicación debe tener un carácter excepcional, en virtud de que se encuentra limitada por los principios de legalidad, presunción de inocencia, necesidad y proporcionalidad, indispensables en una sociedad democrática</w:t>
      </w:r>
      <w:r w:rsidRPr="00F0074A">
        <w:rPr>
          <w:rFonts w:eastAsia="Calibri"/>
          <w:spacing w:val="-2"/>
          <w:vertAlign w:val="superscript"/>
        </w:rPr>
        <w:footnoteReference w:id="62"/>
      </w:r>
      <w:r w:rsidRPr="00F0074A">
        <w:rPr>
          <w:rFonts w:eastAsia="Calibri"/>
        </w:rPr>
        <w:t xml:space="preserve">. </w:t>
      </w:r>
      <w:r w:rsidR="006A14B8" w:rsidRPr="00F0074A">
        <w:rPr>
          <w:rFonts w:eastAsia="Batang"/>
          <w:lang w:eastAsia="en-US"/>
        </w:rPr>
        <w:t>Es jurisprudencia reiterada de este Tribunal que la regla general debe ser la libertad del procesado mientras se resuelve acerca de su responsabilidad penal</w:t>
      </w:r>
      <w:r w:rsidR="006A14B8" w:rsidRPr="00F0074A">
        <w:rPr>
          <w:rFonts w:eastAsia="Calibri"/>
          <w:spacing w:val="-2"/>
          <w:vertAlign w:val="superscript"/>
        </w:rPr>
        <w:footnoteReference w:id="63"/>
      </w:r>
      <w:r w:rsidR="006A14B8" w:rsidRPr="00F0074A">
        <w:rPr>
          <w:rFonts w:eastAsia="Batang"/>
          <w:lang w:eastAsia="en-US"/>
        </w:rPr>
        <w:t>. En casos excepcionales, el Estado podrá recurrir a una medida de privación</w:t>
      </w:r>
      <w:r w:rsidR="004C6365" w:rsidRPr="00F0074A">
        <w:rPr>
          <w:rFonts w:eastAsia="Batang"/>
          <w:lang w:eastAsia="en-US"/>
        </w:rPr>
        <w:t xml:space="preserve"> </w:t>
      </w:r>
      <w:r w:rsidR="006A14B8" w:rsidRPr="00F0074A">
        <w:rPr>
          <w:rFonts w:eastAsia="Batang"/>
          <w:lang w:eastAsia="en-US"/>
        </w:rPr>
        <w:t>preventiva de la libertad a fin de evitar situaciones que pongan en peligro la consecución de los fines del proceso, esto es, para asegurar que el procesado no impedirá el desarrollo eficiente de las investigaciones ni eludirá la acción de la justicia</w:t>
      </w:r>
      <w:r w:rsidR="006A14B8" w:rsidRPr="00F0074A">
        <w:rPr>
          <w:rFonts w:eastAsia="Calibri"/>
          <w:spacing w:val="-2"/>
          <w:vertAlign w:val="superscript"/>
        </w:rPr>
        <w:footnoteReference w:id="64"/>
      </w:r>
      <w:r w:rsidR="006A14B8" w:rsidRPr="00F0074A">
        <w:rPr>
          <w:rFonts w:eastAsia="Batang"/>
          <w:lang w:eastAsia="en-US"/>
        </w:rPr>
        <w:t>. En este sentido, se podrá ordenar la prisión preventiva de un procesado sólo de manera excepcional</w:t>
      </w:r>
      <w:r w:rsidR="00716DEE" w:rsidRPr="00F0074A">
        <w:rPr>
          <w:rFonts w:eastAsia="Calibri"/>
          <w:spacing w:val="-2"/>
          <w:vertAlign w:val="superscript"/>
        </w:rPr>
        <w:footnoteReference w:id="65"/>
      </w:r>
      <w:r w:rsidR="006A14B8" w:rsidRPr="00F0074A">
        <w:rPr>
          <w:rFonts w:eastAsia="Batang"/>
          <w:lang w:eastAsia="en-US"/>
        </w:rPr>
        <w:t xml:space="preserve"> y cuando, por ejemplo, no existan otras garantías que aseguren su comparecencia en el juicio. </w:t>
      </w:r>
    </w:p>
    <w:p w14:paraId="00DCA0A6" w14:textId="77777777" w:rsidR="006A14B8" w:rsidRPr="00F0074A" w:rsidRDefault="006A14B8" w:rsidP="00E06F63">
      <w:pPr>
        <w:tabs>
          <w:tab w:val="left" w:pos="567"/>
          <w:tab w:val="num" w:pos="12305"/>
        </w:tabs>
        <w:spacing w:line="240" w:lineRule="auto"/>
        <w:rPr>
          <w:rFonts w:eastAsia="Batang"/>
          <w:lang w:eastAsia="en-US"/>
        </w:rPr>
      </w:pPr>
    </w:p>
    <w:p w14:paraId="2B0BB6A1" w14:textId="77777777" w:rsidR="00F951E7" w:rsidRPr="007547EB" w:rsidRDefault="00F951E7" w:rsidP="00F951E7">
      <w:pPr>
        <w:numPr>
          <w:ilvl w:val="0"/>
          <w:numId w:val="11"/>
        </w:numPr>
        <w:tabs>
          <w:tab w:val="left" w:pos="567"/>
          <w:tab w:val="num" w:pos="1569"/>
          <w:tab w:val="num" w:pos="12305"/>
        </w:tabs>
        <w:spacing w:line="240" w:lineRule="auto"/>
        <w:ind w:left="0" w:firstLine="0"/>
      </w:pPr>
      <w:bookmarkStart w:id="71" w:name="_Ref369624902"/>
      <w:r>
        <w:t>Sobre</w:t>
      </w:r>
      <w:r w:rsidRPr="007547EB">
        <w:t xml:space="preserve"> la arbitrariedad referida en el artículo 7.3 de la Convención, la Corte ha establecido que nadie puede ser sometido a detención o encarcelamiento por causas y métodos que -aun calificados de legales- puedan reputarse como incompatibles con el respeto a los derechos fundamentales del individuo por ser, entre otras cosas, irrazonables, imprevisibles o faltos de proporcionalidad</w:t>
      </w:r>
      <w:r w:rsidRPr="007547EB">
        <w:rPr>
          <w:rStyle w:val="Refdenotaalpie"/>
        </w:rPr>
        <w:footnoteReference w:id="66"/>
      </w:r>
      <w:r w:rsidRPr="007547EB">
        <w:t xml:space="preserve">. </w:t>
      </w:r>
      <w:r>
        <w:t>El Tribunal</w:t>
      </w:r>
      <w:r w:rsidRPr="007547EB">
        <w:t xml:space="preserve"> consider</w:t>
      </w:r>
      <w:r>
        <w:t>ó</w:t>
      </w:r>
      <w:r w:rsidRPr="007547EB">
        <w:t xml:space="preserve"> que se requiere que la ley interna, el procedimiento aplicable y los principios generales expresos o tácitos correspondientes sean, en sí mismos, compatibles con la Convención. Así, no se debe equiparar el concepto de “arbitrariedad” con el de “contrario a ley”, sino que debe interpretarse de manera más amplia a fin de incluir elementos de incorrección, injusticia e imprevisibilidad</w:t>
      </w:r>
      <w:r w:rsidRPr="007547EB">
        <w:rPr>
          <w:rStyle w:val="Refdenotaalpie"/>
        </w:rPr>
        <w:footnoteReference w:id="67"/>
      </w:r>
      <w:r w:rsidRPr="007547EB">
        <w:t xml:space="preserve">. </w:t>
      </w:r>
    </w:p>
    <w:p w14:paraId="7B6A0C69" w14:textId="77777777" w:rsidR="007B4579" w:rsidRPr="00F951E7" w:rsidRDefault="007B4579" w:rsidP="007B4579">
      <w:pPr>
        <w:tabs>
          <w:tab w:val="left" w:pos="567"/>
        </w:tabs>
        <w:spacing w:line="240" w:lineRule="auto"/>
        <w:rPr>
          <w:lang w:eastAsia="es-ES"/>
        </w:rPr>
      </w:pPr>
    </w:p>
    <w:p w14:paraId="2E6B2041" w14:textId="78DCD4C2" w:rsidR="00F951E7" w:rsidRDefault="00F951E7" w:rsidP="00F951E7">
      <w:pPr>
        <w:numPr>
          <w:ilvl w:val="0"/>
          <w:numId w:val="11"/>
        </w:numPr>
        <w:tabs>
          <w:tab w:val="left" w:pos="567"/>
          <w:tab w:val="num" w:pos="1569"/>
          <w:tab w:val="num" w:pos="12305"/>
        </w:tabs>
        <w:spacing w:line="240" w:lineRule="auto"/>
        <w:ind w:left="0" w:firstLine="0"/>
      </w:pPr>
      <w:r>
        <w:t>L</w:t>
      </w:r>
      <w:r w:rsidRPr="007E4112">
        <w:t xml:space="preserve">a Corte ha considerado que existen tres </w:t>
      </w:r>
      <w:r>
        <w:t>aspectos</w:t>
      </w:r>
      <w:r w:rsidRPr="007E4112">
        <w:t xml:space="preserve"> </w:t>
      </w:r>
      <w:r w:rsidRPr="00274569">
        <w:t>con base en los cuales se evalúa la arbitrariedad de las medidas privativas de la libertad</w:t>
      </w:r>
      <w:r w:rsidRPr="007E4112">
        <w:t xml:space="preserve">: </w:t>
      </w:r>
      <w:r w:rsidR="00D6244C">
        <w:t>(</w:t>
      </w:r>
      <w:r w:rsidRPr="007E4112">
        <w:t>i) que existan elementos para formular cargos o llevar a juicio</w:t>
      </w:r>
      <w:r>
        <w:t xml:space="preserve">, </w:t>
      </w:r>
      <w:r w:rsidRPr="00512FE3">
        <w:rPr>
          <w:rFonts w:eastAsia="Batang"/>
          <w:lang w:eastAsia="en-US"/>
        </w:rPr>
        <w:t>es</w:t>
      </w:r>
      <w:r>
        <w:t xml:space="preserve"> decir que se presenten los “presupuestos materiales” para ordenar la medida cautelar</w:t>
      </w:r>
      <w:r w:rsidR="00416AAE">
        <w:t>,</w:t>
      </w:r>
      <w:r>
        <w:t xml:space="preserve"> </w:t>
      </w:r>
      <w:r w:rsidR="00D6244C">
        <w:t>(i</w:t>
      </w:r>
      <w:r w:rsidRPr="007E4112">
        <w:t xml:space="preserve">i) que </w:t>
      </w:r>
      <w:r>
        <w:t xml:space="preserve">las mismas cumplan con los cuatro elementos del “test de proporcionalidad”, es decir: </w:t>
      </w:r>
      <w:r w:rsidRPr="007E4112">
        <w:t xml:space="preserve">la </w:t>
      </w:r>
      <w:r>
        <w:t xml:space="preserve">legitimidad de la </w:t>
      </w:r>
      <w:r w:rsidRPr="007E4112">
        <w:t xml:space="preserve">finalidad </w:t>
      </w:r>
      <w:r>
        <w:t xml:space="preserve">(la cual debe ser </w:t>
      </w:r>
      <w:r w:rsidRPr="007E4112">
        <w:t>compatible con la Convención</w:t>
      </w:r>
      <w:r>
        <w:t xml:space="preserve"> Americana)</w:t>
      </w:r>
      <w:r w:rsidRPr="007547EB">
        <w:rPr>
          <w:rStyle w:val="Refdenotaalpie"/>
        </w:rPr>
        <w:footnoteReference w:id="68"/>
      </w:r>
      <w:r w:rsidRPr="007E4112">
        <w:t xml:space="preserve">, </w:t>
      </w:r>
      <w:r>
        <w:t xml:space="preserve">la </w:t>
      </w:r>
      <w:r w:rsidRPr="007E4112">
        <w:t>i</w:t>
      </w:r>
      <w:r>
        <w:t>doneidad</w:t>
      </w:r>
      <w:r w:rsidRPr="007E4112">
        <w:t xml:space="preserve">, </w:t>
      </w:r>
      <w:r>
        <w:t xml:space="preserve">la </w:t>
      </w:r>
      <w:r w:rsidRPr="007E4112">
        <w:t>neces</w:t>
      </w:r>
      <w:r>
        <w:t>idad</w:t>
      </w:r>
      <w:r w:rsidRPr="007E4112">
        <w:t xml:space="preserve"> y </w:t>
      </w:r>
      <w:r>
        <w:t>la</w:t>
      </w:r>
      <w:r w:rsidRPr="007E4112">
        <w:t xml:space="preserve"> proporcional</w:t>
      </w:r>
      <w:r>
        <w:t>idad estricta</w:t>
      </w:r>
      <w:r w:rsidRPr="007547EB">
        <w:rPr>
          <w:rStyle w:val="Refdenotaalpie"/>
        </w:rPr>
        <w:footnoteReference w:id="69"/>
      </w:r>
      <w:r w:rsidR="00D6244C">
        <w:t>,</w:t>
      </w:r>
      <w:r w:rsidRPr="007E4112">
        <w:t xml:space="preserve"> y </w:t>
      </w:r>
      <w:r w:rsidR="00D6244C">
        <w:t>(</w:t>
      </w:r>
      <w:r w:rsidRPr="007E4112">
        <w:t>iii) que la decisión que las impone contenga una motivación suficiente que permita evaluar si se ajusta a las condiciones señaladas</w:t>
      </w:r>
      <w:r w:rsidRPr="007547EB">
        <w:rPr>
          <w:rStyle w:val="Refdenotaalpie"/>
        </w:rPr>
        <w:footnoteReference w:id="70"/>
      </w:r>
      <w:r>
        <w:t xml:space="preserve">. </w:t>
      </w:r>
    </w:p>
    <w:p w14:paraId="5EC12279" w14:textId="77777777" w:rsidR="004E1EBF" w:rsidRDefault="004E1EBF" w:rsidP="00F87E0F">
      <w:pPr>
        <w:tabs>
          <w:tab w:val="left" w:pos="567"/>
        </w:tabs>
        <w:spacing w:line="240" w:lineRule="auto"/>
        <w:ind w:left="825"/>
      </w:pPr>
    </w:p>
    <w:p w14:paraId="32545306" w14:textId="4779AAFB" w:rsidR="004E1EBF" w:rsidRDefault="004E1EBF" w:rsidP="00F87E0F">
      <w:pPr>
        <w:numPr>
          <w:ilvl w:val="0"/>
          <w:numId w:val="11"/>
        </w:numPr>
        <w:tabs>
          <w:tab w:val="left" w:pos="567"/>
          <w:tab w:val="num" w:pos="1569"/>
          <w:tab w:val="num" w:pos="12305"/>
        </w:tabs>
        <w:spacing w:line="240" w:lineRule="auto"/>
        <w:ind w:left="0" w:firstLine="0"/>
      </w:pPr>
      <w:r w:rsidRPr="007547EB">
        <w:t xml:space="preserve">Respecto del primer punto, </w:t>
      </w:r>
      <w:r w:rsidRPr="007547EB">
        <w:rPr>
          <w:lang w:val="es-ES"/>
        </w:rPr>
        <w:t>la Corte ha indicado que</w:t>
      </w:r>
      <w:r w:rsidR="00716DEE">
        <w:rPr>
          <w:lang w:val="es-ES"/>
        </w:rPr>
        <w:t>,</w:t>
      </w:r>
      <w:r w:rsidRPr="007547EB">
        <w:rPr>
          <w:lang w:val="es-ES"/>
        </w:rPr>
        <w:t xml:space="preserve"> antes de evaluar la finalidad de la medida</w:t>
      </w:r>
      <w:r w:rsidR="00716DEE">
        <w:rPr>
          <w:lang w:val="es-ES"/>
        </w:rPr>
        <w:t>,</w:t>
      </w:r>
      <w:r w:rsidRPr="007547EB">
        <w:rPr>
          <w:lang w:val="es-ES"/>
        </w:rPr>
        <w:t xml:space="preserve"> existe un presupuesto </w:t>
      </w:r>
      <w:r w:rsidRPr="007547EB">
        <w:t xml:space="preserve">para restringir el derecho a la libertad personal a través de </w:t>
      </w:r>
      <w:r w:rsidRPr="0074344E">
        <w:t>la</w:t>
      </w:r>
      <w:r w:rsidRPr="007547EB">
        <w:t xml:space="preserve"> prisión preventiva,</w:t>
      </w:r>
      <w:r w:rsidRPr="00DA1604">
        <w:t xml:space="preserve"> </w:t>
      </w:r>
      <w:r>
        <w:t xml:space="preserve">que existan elementos para formular cargos o llevar a juicio, </w:t>
      </w:r>
      <w:r w:rsidRPr="007547EB">
        <w:t>esto es</w:t>
      </w:r>
      <w:r w:rsidR="00716DEE">
        <w:t>,</w:t>
      </w:r>
      <w:r w:rsidRPr="007547EB">
        <w:t xml:space="preserve"> que existan indicios suficientes que permitan suponer razonablemente que la persona sometida al proceso </w:t>
      </w:r>
      <w:r>
        <w:t>pudo haber</w:t>
      </w:r>
      <w:r w:rsidRPr="007547EB">
        <w:t xml:space="preserve"> participado en el ilícito que se investiga</w:t>
      </w:r>
      <w:r w:rsidRPr="007547EB">
        <w:rPr>
          <w:rStyle w:val="Refdenotaalpie"/>
        </w:rPr>
        <w:footnoteReference w:id="71"/>
      </w:r>
      <w:r>
        <w:t>.</w:t>
      </w:r>
    </w:p>
    <w:p w14:paraId="6801E990" w14:textId="77777777" w:rsidR="004E1EBF" w:rsidRDefault="004E1EBF" w:rsidP="00F87E0F">
      <w:pPr>
        <w:tabs>
          <w:tab w:val="left" w:pos="3390"/>
        </w:tabs>
        <w:spacing w:line="240" w:lineRule="auto"/>
      </w:pPr>
      <w:r>
        <w:tab/>
      </w:r>
    </w:p>
    <w:p w14:paraId="6FF44D97" w14:textId="63C0D12C" w:rsidR="004E1EBF" w:rsidRPr="00A91F41" w:rsidRDefault="004E1EBF" w:rsidP="003836DE">
      <w:pPr>
        <w:numPr>
          <w:ilvl w:val="0"/>
          <w:numId w:val="11"/>
        </w:numPr>
        <w:tabs>
          <w:tab w:val="left" w:pos="567"/>
          <w:tab w:val="num" w:pos="1569"/>
          <w:tab w:val="num" w:pos="12305"/>
        </w:tabs>
        <w:spacing w:line="240" w:lineRule="auto"/>
        <w:ind w:left="0" w:firstLine="0"/>
      </w:pPr>
      <w:r w:rsidRPr="002B3FA1">
        <w:rPr>
          <w:lang w:val="es-MX" w:eastAsia="es-ES"/>
        </w:rPr>
        <w:t>Respecto del segundo punto, la Corte ha afirmado que corresponde a la autoridad judicial desarrollar un juicio de proporcionalidad al momento de imponer una medida privativa de la libertad.</w:t>
      </w:r>
      <w:r w:rsidR="001A3D54">
        <w:rPr>
          <w:lang w:val="es-MX" w:eastAsia="es-ES"/>
        </w:rPr>
        <w:t xml:space="preserve"> </w:t>
      </w:r>
      <w:r w:rsidRPr="002B3FA1">
        <w:rPr>
          <w:lang w:val="es-ES"/>
        </w:rPr>
        <w:t xml:space="preserve">Dado lo anterior, corresponde a la autoridad judicial </w:t>
      </w:r>
      <w:r w:rsidRPr="00D53320">
        <w:t>imponer medidas de esta naturaleza únicamente cuando acredite que son:</w:t>
      </w:r>
      <w:r w:rsidR="001A3D54">
        <w:t xml:space="preserve"> </w:t>
      </w:r>
      <w:r w:rsidR="002B3FA1">
        <w:t>(</w:t>
      </w:r>
      <w:r w:rsidRPr="00D53320">
        <w:t>i) idóneas para cumplir con el fin perseguido</w:t>
      </w:r>
      <w:r w:rsidR="00416AAE">
        <w:t>,</w:t>
      </w:r>
      <w:r w:rsidRPr="00D53320">
        <w:t xml:space="preserve"> </w:t>
      </w:r>
      <w:r w:rsidR="002B3FA1">
        <w:t>(</w:t>
      </w:r>
      <w:r w:rsidRPr="00D53320">
        <w:t xml:space="preserve">ii) necesarias, en el sentido de que sean absolutamente indispensables para conseguir el fin deseado y que no exista una medida menos gravosa respecto al derecho </w:t>
      </w:r>
      <w:r w:rsidRPr="002B3FA1">
        <w:rPr>
          <w:lang w:val="es-ES"/>
        </w:rPr>
        <w:t>intervenido</w:t>
      </w:r>
      <w:r w:rsidRPr="00D53320">
        <w:t xml:space="preserve"> entre todas aquellas que cuentan con la </w:t>
      </w:r>
      <w:r w:rsidRPr="002B3FA1">
        <w:rPr>
          <w:lang w:val="es-ES"/>
        </w:rPr>
        <w:t>misma</w:t>
      </w:r>
      <w:r w:rsidRPr="00D53320">
        <w:t xml:space="preserve"> idoneidad para alcanzar el objetivo propuesto, y </w:t>
      </w:r>
      <w:r w:rsidR="002B3FA1">
        <w:t>(</w:t>
      </w:r>
      <w:r w:rsidRPr="00D53320">
        <w:t>iii) que resulten estrictamente proporcionales, de tal forma que el sacrificio inherente a la restricción del derecho a la libertad no resulte exagerado o desmedido frente a las ventajas que se obtienen mediante tal restricción y el cumplimiento de la finalidad perseguida</w:t>
      </w:r>
      <w:r w:rsidRPr="00D53320">
        <w:rPr>
          <w:rStyle w:val="Refdenotaalpie"/>
        </w:rPr>
        <w:footnoteReference w:id="72"/>
      </w:r>
      <w:r>
        <w:t xml:space="preserve">. </w:t>
      </w:r>
      <w:r w:rsidR="00716DEE">
        <w:t>Este Tribunal</w:t>
      </w:r>
      <w:r w:rsidRPr="002B3FA1">
        <w:rPr>
          <w:lang w:val="es-ES"/>
        </w:rPr>
        <w:t xml:space="preserve"> ha indicado, que la medida solo se debe imponer </w:t>
      </w:r>
      <w:r w:rsidRPr="0074344E">
        <w:t>cuando</w:t>
      </w:r>
      <w:r w:rsidRPr="002B3FA1">
        <w:rPr>
          <w:lang w:val="es-ES"/>
        </w:rPr>
        <w:t xml:space="preserve"> sea necesaria para la </w:t>
      </w:r>
      <w:r w:rsidRPr="00D53320">
        <w:t>satisfacción</w:t>
      </w:r>
      <w:r w:rsidRPr="002B3FA1">
        <w:rPr>
          <w:lang w:val="es-ES"/>
        </w:rPr>
        <w:t xml:space="preserve"> de un fin legítimo, a saber: que el acusado no impedirá el desarrollo del procedimiento ni eludirá la acción de la justicia</w:t>
      </w:r>
      <w:r w:rsidRPr="007547EB">
        <w:rPr>
          <w:rStyle w:val="Refdenotaalpie"/>
          <w:lang w:val="es-ES"/>
        </w:rPr>
        <w:footnoteReference w:id="73"/>
      </w:r>
      <w:r w:rsidRPr="002B3FA1">
        <w:rPr>
          <w:lang w:val="es-ES"/>
        </w:rPr>
        <w:t>. De este modo, el Tribunal considera que únicamente deben ser considerados como finalidades legítimas, aquellas que están atadas directamente con el desarrollo eficaz del proceso, es decir, que estén vinculadas con el peligro de fuga del procesado, directamente establecido en el artículo 7.5 de la Convención Americana, y aquella que busca evitar que el procesado impida el desarrollo del procedimiento.</w:t>
      </w:r>
    </w:p>
    <w:p w14:paraId="0A518755" w14:textId="77777777" w:rsidR="004E1EBF" w:rsidRDefault="004E1EBF" w:rsidP="00F87E0F">
      <w:pPr>
        <w:pStyle w:val="Prrafodelista"/>
        <w:tabs>
          <w:tab w:val="left" w:pos="567"/>
        </w:tabs>
        <w:spacing w:line="240" w:lineRule="auto"/>
        <w:ind w:left="825"/>
        <w:rPr>
          <w:i/>
        </w:rPr>
      </w:pPr>
      <w:r w:rsidRPr="004E1EBF">
        <w:rPr>
          <w:i/>
        </w:rPr>
        <w:tab/>
      </w:r>
    </w:p>
    <w:p w14:paraId="74C17A74" w14:textId="78D93A96" w:rsidR="007A0C3C" w:rsidRPr="00F87E0F" w:rsidRDefault="004E1EBF" w:rsidP="004E1EBF">
      <w:pPr>
        <w:numPr>
          <w:ilvl w:val="0"/>
          <w:numId w:val="11"/>
        </w:numPr>
        <w:tabs>
          <w:tab w:val="left" w:pos="567"/>
          <w:tab w:val="num" w:pos="1569"/>
          <w:tab w:val="num" w:pos="12305"/>
        </w:tabs>
        <w:spacing w:line="240" w:lineRule="auto"/>
        <w:ind w:left="0" w:firstLine="0"/>
        <w:rPr>
          <w:rFonts w:eastAsia="Batang"/>
          <w:lang w:eastAsia="en-US"/>
        </w:rPr>
      </w:pPr>
      <w:r>
        <w:rPr>
          <w:lang w:val="es-ES"/>
        </w:rPr>
        <w:t>En relación con el tercer punto, la Corte ha considerado que</w:t>
      </w:r>
      <w:r w:rsidR="006A14B8" w:rsidRPr="00F87E0F">
        <w:rPr>
          <w:rFonts w:eastAsia="Batang"/>
          <w:lang w:eastAsia="en-US"/>
        </w:rPr>
        <w:t xml:space="preserve"> cualquier restricción a la libertad que no contenga una motivación suficiente</w:t>
      </w:r>
      <w:r w:rsidR="00586682" w:rsidRPr="004F183C">
        <w:rPr>
          <w:rFonts w:eastAsia="Batang"/>
          <w:lang w:eastAsia="en-US"/>
        </w:rPr>
        <w:t xml:space="preserve"> </w:t>
      </w:r>
      <w:r w:rsidR="006A14B8" w:rsidRPr="004F183C">
        <w:rPr>
          <w:rFonts w:eastAsia="Batang"/>
          <w:lang w:eastAsia="en-US"/>
        </w:rPr>
        <w:t>que permita evaluar si se ajusta a las condicion</w:t>
      </w:r>
      <w:r w:rsidR="006A14B8" w:rsidRPr="00875E1D">
        <w:rPr>
          <w:rFonts w:eastAsia="Batang"/>
          <w:lang w:eastAsia="en-US"/>
        </w:rPr>
        <w:t xml:space="preserve">es señaladas será arbitraria y, por tanto, violará el </w:t>
      </w:r>
      <w:r w:rsidR="006A14B8" w:rsidRPr="00875E1D">
        <w:t>artículo</w:t>
      </w:r>
      <w:r w:rsidR="006A14B8" w:rsidRPr="00875E1D">
        <w:rPr>
          <w:rFonts w:eastAsia="Batang"/>
          <w:lang w:eastAsia="en-US"/>
        </w:rPr>
        <w:t xml:space="preserve"> 7.3 de la Convención</w:t>
      </w:r>
      <w:r w:rsidR="006A14B8" w:rsidRPr="00F87E0F">
        <w:rPr>
          <w:rFonts w:eastAsia="Calibri"/>
          <w:spacing w:val="-2"/>
          <w:vertAlign w:val="superscript"/>
        </w:rPr>
        <w:footnoteReference w:id="74"/>
      </w:r>
      <w:r w:rsidR="006A14B8" w:rsidRPr="00F87E0F">
        <w:rPr>
          <w:rFonts w:eastAsia="Batang"/>
          <w:lang w:eastAsia="en-US"/>
        </w:rPr>
        <w:t>.</w:t>
      </w:r>
      <w:bookmarkEnd w:id="71"/>
      <w:r w:rsidR="00586682" w:rsidRPr="00F87E0F">
        <w:rPr>
          <w:rFonts w:eastAsia="Batang"/>
          <w:lang w:eastAsia="en-US"/>
        </w:rPr>
        <w:t xml:space="preserve"> </w:t>
      </w:r>
      <w:r>
        <w:rPr>
          <w:lang w:val="es-ES" w:eastAsia="es-ES"/>
        </w:rPr>
        <w:t>Asimismo</w:t>
      </w:r>
      <w:r w:rsidR="00586682" w:rsidRPr="00F87E0F">
        <w:rPr>
          <w:lang w:val="es-ES" w:eastAsia="es-ES"/>
        </w:rPr>
        <w:t>, para que se respete la presunción de inocencia (</w:t>
      </w:r>
      <w:r w:rsidR="00586682" w:rsidRPr="00F87E0F">
        <w:rPr>
          <w:rFonts w:eastAsia="Batang"/>
          <w:lang w:eastAsia="en-US"/>
        </w:rPr>
        <w:t>artículo</w:t>
      </w:r>
      <w:r w:rsidR="00586682" w:rsidRPr="00F87E0F">
        <w:rPr>
          <w:lang w:val="es-ES" w:eastAsia="es-ES"/>
        </w:rPr>
        <w:t xml:space="preserve"> 8.2) al ordenarse medidas cautelares restrictivas de la libertad, es preciso que el Estado fundamen</w:t>
      </w:r>
      <w:r w:rsidR="00586682" w:rsidRPr="004F183C">
        <w:rPr>
          <w:lang w:val="es-ES" w:eastAsia="es-ES"/>
        </w:rPr>
        <w:t>te y acredite, de manera clara y motivada, según cada caso concreto, la existencia de los referidos requisitos exigidos por la Convención</w:t>
      </w:r>
      <w:r w:rsidR="00586682" w:rsidRPr="00F87E0F">
        <w:rPr>
          <w:vertAlign w:val="superscript"/>
          <w:lang w:val="es-ES" w:eastAsia="es-ES"/>
        </w:rPr>
        <w:footnoteReference w:id="75"/>
      </w:r>
      <w:r w:rsidR="00586682" w:rsidRPr="00F87E0F">
        <w:rPr>
          <w:lang w:val="es-ES" w:eastAsia="es-ES"/>
        </w:rPr>
        <w:t xml:space="preserve">. </w:t>
      </w:r>
      <w:bookmarkStart w:id="72" w:name="_Ref369624903"/>
    </w:p>
    <w:bookmarkEnd w:id="72"/>
    <w:p w14:paraId="3D83A548" w14:textId="77777777" w:rsidR="00586682" w:rsidRPr="00F0074A" w:rsidRDefault="00586682" w:rsidP="00586682">
      <w:pPr>
        <w:tabs>
          <w:tab w:val="left" w:pos="567"/>
        </w:tabs>
        <w:spacing w:line="240" w:lineRule="auto"/>
        <w:rPr>
          <w:rFonts w:eastAsia="Batang"/>
          <w:lang w:eastAsia="en-US"/>
        </w:rPr>
      </w:pPr>
    </w:p>
    <w:p w14:paraId="7E689FC8" w14:textId="23EFB703" w:rsidR="00595ECD" w:rsidRPr="00F0074A" w:rsidRDefault="006A14B8" w:rsidP="0061213A">
      <w:pPr>
        <w:numPr>
          <w:ilvl w:val="0"/>
          <w:numId w:val="11"/>
        </w:numPr>
        <w:tabs>
          <w:tab w:val="left" w:pos="567"/>
          <w:tab w:val="num" w:pos="1569"/>
          <w:tab w:val="num" w:pos="12305"/>
        </w:tabs>
        <w:spacing w:line="240" w:lineRule="auto"/>
        <w:ind w:left="0" w:firstLine="0"/>
        <w:rPr>
          <w:rFonts w:eastAsia="Batang"/>
          <w:lang w:eastAsia="en-US"/>
        </w:rPr>
      </w:pPr>
      <w:r w:rsidRPr="00F0074A">
        <w:rPr>
          <w:rFonts w:eastAsia="Batang"/>
          <w:lang w:eastAsia="en-US"/>
        </w:rPr>
        <w:t>En el presente caso,</w:t>
      </w:r>
      <w:r w:rsidR="008854AF" w:rsidRPr="00F0074A">
        <w:rPr>
          <w:rFonts w:eastAsia="Batang"/>
          <w:lang w:eastAsia="en-US"/>
        </w:rPr>
        <w:t xml:space="preserve"> la Corte observa que el señor Jenkins fue detenido e</w:t>
      </w:r>
      <w:r w:rsidRPr="00F0074A">
        <w:rPr>
          <w:rFonts w:eastAsia="Batang"/>
          <w:lang w:eastAsia="en-US"/>
        </w:rPr>
        <w:t>l 8 de junio de 1994 en virtud de una orden dictada por el Juzgado Nacional en lo Criminal y Correccional Federal N</w:t>
      </w:r>
      <w:r w:rsidR="000F6C48">
        <w:rPr>
          <w:rFonts w:eastAsia="Batang"/>
          <w:lang w:eastAsia="en-US"/>
        </w:rPr>
        <w:t xml:space="preserve">o. </w:t>
      </w:r>
      <w:r w:rsidRPr="00F0074A">
        <w:rPr>
          <w:rFonts w:eastAsia="Batang"/>
          <w:lang w:eastAsia="en-US"/>
        </w:rPr>
        <w:t>9</w:t>
      </w:r>
      <w:r w:rsidR="000F6C48">
        <w:rPr>
          <w:rFonts w:eastAsia="Batang"/>
          <w:lang w:eastAsia="en-US"/>
        </w:rPr>
        <w:t xml:space="preserve"> en el marco de la causa penal N</w:t>
      </w:r>
      <w:r w:rsidRPr="00F0074A">
        <w:rPr>
          <w:rFonts w:eastAsia="Batang"/>
          <w:lang w:eastAsia="en-US"/>
        </w:rPr>
        <w:t>o. 73 denominada “Padilla Echeverry, José Gildardo y Otros s/ Infracción Ley N</w:t>
      </w:r>
      <w:r w:rsidR="000F6C48">
        <w:rPr>
          <w:rFonts w:eastAsia="Batang"/>
          <w:lang w:eastAsia="en-US"/>
        </w:rPr>
        <w:t>o.</w:t>
      </w:r>
      <w:r w:rsidRPr="00F0074A">
        <w:rPr>
          <w:rFonts w:eastAsia="Batang"/>
          <w:lang w:eastAsia="en-US"/>
        </w:rPr>
        <w:t xml:space="preserve"> 23.737”, imputado por los delitos de tráfico ilícito de estupefacientes y asociación ilícita</w:t>
      </w:r>
      <w:r w:rsidRPr="00F0074A">
        <w:rPr>
          <w:rFonts w:eastAsia="Calibri"/>
          <w:spacing w:val="-2"/>
          <w:vertAlign w:val="superscript"/>
        </w:rPr>
        <w:footnoteReference w:id="76"/>
      </w:r>
      <w:r w:rsidRPr="00F0074A">
        <w:rPr>
          <w:rFonts w:eastAsia="Calibri"/>
          <w:spacing w:val="-2"/>
        </w:rPr>
        <w:t>.</w:t>
      </w:r>
      <w:r w:rsidR="004D7A9A" w:rsidRPr="00F0074A">
        <w:rPr>
          <w:rFonts w:eastAsia="Calibri"/>
          <w:spacing w:val="-2"/>
        </w:rPr>
        <w:t xml:space="preserve"> </w:t>
      </w:r>
      <w:r w:rsidRPr="00F0074A">
        <w:rPr>
          <w:rFonts w:eastAsia="Batang"/>
          <w:lang w:eastAsia="en-US"/>
        </w:rPr>
        <w:t>Posteriormente, con fecha 29 de junio de 1994</w:t>
      </w:r>
      <w:r w:rsidR="00CB748D" w:rsidRPr="00F0074A">
        <w:rPr>
          <w:rFonts w:eastAsia="Batang"/>
          <w:lang w:eastAsia="en-US"/>
        </w:rPr>
        <w:t>,</w:t>
      </w:r>
      <w:r w:rsidRPr="00F0074A">
        <w:rPr>
          <w:rFonts w:eastAsia="Batang"/>
          <w:lang w:eastAsia="en-US"/>
        </w:rPr>
        <w:t xml:space="preserve"> el mismo tribunal resolvió decretar el procesamiento del señor Jenkins “y, en consecuencia, convertir sus detenciones en </w:t>
      </w:r>
      <w:r w:rsidR="008854AF" w:rsidRPr="00F0074A">
        <w:rPr>
          <w:rFonts w:eastAsia="Batang"/>
          <w:lang w:eastAsia="en-US"/>
        </w:rPr>
        <w:t>prisión preventiva”</w:t>
      </w:r>
      <w:r w:rsidRPr="00F0074A">
        <w:rPr>
          <w:rFonts w:eastAsia="Calibri"/>
          <w:spacing w:val="-2"/>
          <w:vertAlign w:val="superscript"/>
        </w:rPr>
        <w:footnoteReference w:id="77"/>
      </w:r>
      <w:r w:rsidRPr="00F0074A">
        <w:rPr>
          <w:rFonts w:eastAsia="Batang"/>
          <w:lang w:eastAsia="en-US"/>
        </w:rPr>
        <w:t xml:space="preserve">. </w:t>
      </w:r>
      <w:r w:rsidR="004D7A9A" w:rsidRPr="00F0074A">
        <w:rPr>
          <w:rFonts w:eastAsia="Batang"/>
          <w:lang w:eastAsia="en-US"/>
        </w:rPr>
        <w:t xml:space="preserve">La Corte se centrará, por tanto, en esta resolución </w:t>
      </w:r>
      <w:r w:rsidR="007A0C3C" w:rsidRPr="00F0074A">
        <w:rPr>
          <w:rFonts w:eastAsia="Batang"/>
          <w:lang w:eastAsia="en-US"/>
        </w:rPr>
        <w:t xml:space="preserve">–esto es, el auto dictando prisión preventiva– </w:t>
      </w:r>
      <w:r w:rsidR="004D7A9A" w:rsidRPr="00F0074A">
        <w:rPr>
          <w:rFonts w:eastAsia="Batang"/>
          <w:lang w:eastAsia="en-US"/>
        </w:rPr>
        <w:t xml:space="preserve">para verificar la compatibilidad de la </w:t>
      </w:r>
      <w:r w:rsidR="00595ECD" w:rsidRPr="00F0074A">
        <w:rPr>
          <w:rFonts w:eastAsia="Batang"/>
          <w:lang w:eastAsia="en-US"/>
        </w:rPr>
        <w:t>misma</w:t>
      </w:r>
      <w:r w:rsidR="004D7A9A" w:rsidRPr="00F0074A">
        <w:rPr>
          <w:rFonts w:eastAsia="Batang"/>
          <w:lang w:eastAsia="en-US"/>
        </w:rPr>
        <w:t xml:space="preserve"> con los estándares internacionales. </w:t>
      </w:r>
    </w:p>
    <w:p w14:paraId="0EC6B9B0" w14:textId="77777777" w:rsidR="00595ECD" w:rsidRPr="00F0074A" w:rsidRDefault="00595ECD" w:rsidP="00595ECD">
      <w:pPr>
        <w:tabs>
          <w:tab w:val="left" w:pos="567"/>
        </w:tabs>
        <w:spacing w:line="240" w:lineRule="auto"/>
        <w:rPr>
          <w:rFonts w:eastAsia="Batang"/>
          <w:lang w:eastAsia="en-US"/>
        </w:rPr>
      </w:pPr>
    </w:p>
    <w:p w14:paraId="78CE5C7E" w14:textId="0B0723B6" w:rsidR="00CB748D" w:rsidRPr="00FD0B53" w:rsidRDefault="008854AF" w:rsidP="00127CF0">
      <w:pPr>
        <w:numPr>
          <w:ilvl w:val="0"/>
          <w:numId w:val="11"/>
        </w:numPr>
        <w:tabs>
          <w:tab w:val="left" w:pos="567"/>
          <w:tab w:val="num" w:pos="1569"/>
          <w:tab w:val="num" w:pos="12305"/>
        </w:tabs>
        <w:spacing w:line="240" w:lineRule="auto"/>
        <w:ind w:left="0" w:firstLine="0"/>
        <w:rPr>
          <w:rFonts w:eastAsia="Batang"/>
          <w:lang w:eastAsia="en-US"/>
        </w:rPr>
      </w:pPr>
      <w:r w:rsidRPr="00FD0B53">
        <w:rPr>
          <w:rFonts w:eastAsia="Batang"/>
          <w:lang w:eastAsia="en-US"/>
        </w:rPr>
        <w:t xml:space="preserve">La Corte observa que </w:t>
      </w:r>
      <w:r w:rsidR="00CB748D" w:rsidRPr="00FD0B53">
        <w:rPr>
          <w:rFonts w:eastAsia="Batang"/>
          <w:lang w:eastAsia="en-US"/>
        </w:rPr>
        <w:t>la</w:t>
      </w:r>
      <w:r w:rsidR="006A14B8" w:rsidRPr="00FD0B53">
        <w:rPr>
          <w:rFonts w:eastAsia="Batang"/>
          <w:lang w:eastAsia="en-US"/>
        </w:rPr>
        <w:t xml:space="preserve"> </w:t>
      </w:r>
      <w:r w:rsidR="00CB748D" w:rsidRPr="00FD0B53">
        <w:rPr>
          <w:rFonts w:eastAsia="Batang"/>
          <w:lang w:eastAsia="en-US"/>
        </w:rPr>
        <w:t xml:space="preserve">referida </w:t>
      </w:r>
      <w:r w:rsidR="006A14B8" w:rsidRPr="00FD0B53">
        <w:rPr>
          <w:rFonts w:eastAsia="Batang"/>
          <w:lang w:eastAsia="en-US"/>
        </w:rPr>
        <w:t>resolución</w:t>
      </w:r>
      <w:r w:rsidR="00CB748D" w:rsidRPr="00FD0B53">
        <w:rPr>
          <w:rFonts w:eastAsia="Batang"/>
          <w:lang w:eastAsia="en-US"/>
        </w:rPr>
        <w:t xml:space="preserve"> de 29 de junio de 1994</w:t>
      </w:r>
      <w:r w:rsidR="006A14B8" w:rsidRPr="00FD0B53">
        <w:rPr>
          <w:rFonts w:eastAsia="Batang"/>
          <w:lang w:eastAsia="en-US"/>
        </w:rPr>
        <w:t xml:space="preserve"> contiene fundamentos </w:t>
      </w:r>
      <w:r w:rsidRPr="00FD0B53">
        <w:rPr>
          <w:rFonts w:eastAsia="Batang"/>
          <w:lang w:eastAsia="en-US"/>
        </w:rPr>
        <w:t xml:space="preserve">únicamente </w:t>
      </w:r>
      <w:r w:rsidR="006A14B8" w:rsidRPr="00FD0B53">
        <w:rPr>
          <w:rFonts w:eastAsia="Batang"/>
          <w:lang w:eastAsia="en-US"/>
        </w:rPr>
        <w:t xml:space="preserve">en cuanto a la existencia del delito </w:t>
      </w:r>
      <w:r w:rsidRPr="00FD0B53">
        <w:rPr>
          <w:rFonts w:eastAsia="Batang"/>
          <w:lang w:eastAsia="en-US"/>
        </w:rPr>
        <w:t>sancionado en el artículo 7 de la Ley</w:t>
      </w:r>
      <w:r w:rsidR="00FF4308">
        <w:rPr>
          <w:rFonts w:eastAsia="Batang"/>
          <w:lang w:eastAsia="en-US"/>
        </w:rPr>
        <w:t xml:space="preserve"> No.</w:t>
      </w:r>
      <w:r w:rsidRPr="00FD0B53">
        <w:rPr>
          <w:rFonts w:eastAsia="Batang"/>
          <w:lang w:eastAsia="en-US"/>
        </w:rPr>
        <w:t xml:space="preserve"> 23.737 </w:t>
      </w:r>
      <w:r w:rsidR="006A14B8" w:rsidRPr="00FD0B53">
        <w:rPr>
          <w:rFonts w:eastAsia="Batang"/>
          <w:lang w:eastAsia="en-US"/>
        </w:rPr>
        <w:t xml:space="preserve">y la presunta </w:t>
      </w:r>
      <w:r w:rsidRPr="00FD0B53">
        <w:rPr>
          <w:rFonts w:eastAsia="Batang"/>
          <w:lang w:eastAsia="en-US"/>
        </w:rPr>
        <w:t>participación del señor Jenkins</w:t>
      </w:r>
      <w:r w:rsidR="006A14B8" w:rsidRPr="00FD0B53">
        <w:rPr>
          <w:rFonts w:eastAsia="Batang"/>
          <w:lang w:eastAsia="en-US"/>
        </w:rPr>
        <w:t xml:space="preserve">. </w:t>
      </w:r>
      <w:r w:rsidRPr="00FD0B53">
        <w:rPr>
          <w:rFonts w:eastAsia="Batang"/>
          <w:lang w:eastAsia="en-US"/>
        </w:rPr>
        <w:t>Efectivamente</w:t>
      </w:r>
      <w:r w:rsidR="006A14B8" w:rsidRPr="00FD0B53">
        <w:rPr>
          <w:rFonts w:eastAsia="Batang"/>
          <w:lang w:eastAsia="en-US"/>
        </w:rPr>
        <w:t xml:space="preserve">, la </w:t>
      </w:r>
      <w:r w:rsidRPr="00FD0B53">
        <w:rPr>
          <w:rFonts w:eastAsia="Batang"/>
          <w:lang w:eastAsia="en-US"/>
        </w:rPr>
        <w:t>r</w:t>
      </w:r>
      <w:r w:rsidR="006A14B8" w:rsidRPr="00FD0B53">
        <w:rPr>
          <w:rFonts w:eastAsia="Batang"/>
          <w:lang w:eastAsia="en-US"/>
        </w:rPr>
        <w:t xml:space="preserve">esolución </w:t>
      </w:r>
      <w:r w:rsidRPr="00FD0B53">
        <w:rPr>
          <w:rFonts w:eastAsia="Batang"/>
          <w:lang w:eastAsia="en-US"/>
        </w:rPr>
        <w:t>s</w:t>
      </w:r>
      <w:r w:rsidR="000012D0" w:rsidRPr="00FD0B53">
        <w:rPr>
          <w:rFonts w:eastAsia="Batang"/>
          <w:lang w:eastAsia="en-US"/>
        </w:rPr>
        <w:t xml:space="preserve">e </w:t>
      </w:r>
      <w:r w:rsidR="00CB748D" w:rsidRPr="00FD0B53">
        <w:rPr>
          <w:rFonts w:eastAsia="Batang"/>
          <w:lang w:eastAsia="en-US"/>
        </w:rPr>
        <w:t>limitó a indicar cuáles eran los “elementos cargosos” que afectaban al señor Jenkins</w:t>
      </w:r>
      <w:r w:rsidR="00CB748D" w:rsidRPr="00F0074A">
        <w:rPr>
          <w:rStyle w:val="Refdenotaalpie"/>
          <w:rFonts w:eastAsia="Batang"/>
          <w:lang w:eastAsia="en-US"/>
        </w:rPr>
        <w:footnoteReference w:id="78"/>
      </w:r>
      <w:r w:rsidR="00CB748D" w:rsidRPr="00FD0B53">
        <w:rPr>
          <w:rFonts w:eastAsia="Batang"/>
          <w:lang w:eastAsia="en-US"/>
        </w:rPr>
        <w:t xml:space="preserve">. Según la citada resolución, el señor Jenkins, junto con otros imputados, </w:t>
      </w:r>
    </w:p>
    <w:p w14:paraId="1FBF3986" w14:textId="77777777" w:rsidR="00CB748D" w:rsidRPr="00F0074A" w:rsidRDefault="00CB748D" w:rsidP="00CB748D">
      <w:pPr>
        <w:tabs>
          <w:tab w:val="left" w:pos="567"/>
          <w:tab w:val="num" w:pos="1569"/>
          <w:tab w:val="num" w:pos="12305"/>
        </w:tabs>
        <w:spacing w:line="240" w:lineRule="auto"/>
        <w:rPr>
          <w:rFonts w:eastAsia="Batang"/>
          <w:lang w:eastAsia="en-US"/>
        </w:rPr>
      </w:pPr>
    </w:p>
    <w:p w14:paraId="060E84F4" w14:textId="3DAE8AD0" w:rsidR="000012D0" w:rsidRPr="00F0074A" w:rsidRDefault="00537440" w:rsidP="00E61F1A">
      <w:pPr>
        <w:tabs>
          <w:tab w:val="left" w:pos="567"/>
          <w:tab w:val="num" w:pos="1569"/>
          <w:tab w:val="num" w:pos="12305"/>
        </w:tabs>
        <w:spacing w:line="240" w:lineRule="auto"/>
        <w:ind w:left="720" w:right="630"/>
        <w:rPr>
          <w:rFonts w:eastAsia="Batang"/>
          <w:sz w:val="18"/>
          <w:szCs w:val="18"/>
          <w:lang w:eastAsia="en-US"/>
        </w:rPr>
      </w:pPr>
      <w:r>
        <w:rPr>
          <w:rFonts w:eastAsia="Batang"/>
          <w:sz w:val="18"/>
          <w:szCs w:val="18"/>
          <w:lang w:eastAsia="en-US"/>
        </w:rPr>
        <w:t xml:space="preserve">[…] </w:t>
      </w:r>
      <w:r w:rsidR="00CB748D" w:rsidRPr="00F0074A">
        <w:rPr>
          <w:rFonts w:eastAsia="Batang"/>
          <w:sz w:val="18"/>
          <w:szCs w:val="18"/>
          <w:lang w:eastAsia="en-US"/>
        </w:rPr>
        <w:t xml:space="preserve">aportaron […] distintas acciones </w:t>
      </w:r>
      <w:r w:rsidR="00E61F1A" w:rsidRPr="00F0074A">
        <w:rPr>
          <w:rFonts w:eastAsia="Batang"/>
          <w:sz w:val="18"/>
          <w:szCs w:val="18"/>
          <w:lang w:eastAsia="en-US"/>
        </w:rPr>
        <w:t>en procura del beneficio común de la empresa de tráfico ilícito de estupefacientes. Todos conocían cual era el objeto del negocio. Todos lucraron con él. Todos deben ser valorados part</w:t>
      </w:r>
      <w:r w:rsidR="00A905B0">
        <w:rPr>
          <w:rFonts w:eastAsia="Batang"/>
          <w:sz w:val="18"/>
          <w:szCs w:val="18"/>
          <w:lang w:eastAsia="en-US"/>
        </w:rPr>
        <w:t>í</w:t>
      </w:r>
      <w:r w:rsidR="00E61F1A" w:rsidRPr="00F0074A">
        <w:rPr>
          <w:rFonts w:eastAsia="Batang"/>
          <w:sz w:val="18"/>
          <w:szCs w:val="18"/>
          <w:lang w:eastAsia="en-US"/>
        </w:rPr>
        <w:t>cipes de la organización de dedicada a la comercialización, distribución, transporte y almacenamiento de estupefacientes</w:t>
      </w:r>
      <w:r w:rsidR="00E61F1A" w:rsidRPr="00F0074A">
        <w:rPr>
          <w:rStyle w:val="Refdenotaalpie"/>
          <w:rFonts w:eastAsia="Batang"/>
          <w:sz w:val="18"/>
          <w:szCs w:val="18"/>
          <w:lang w:eastAsia="en-US"/>
        </w:rPr>
        <w:footnoteReference w:id="79"/>
      </w:r>
      <w:r w:rsidR="00E61F1A" w:rsidRPr="00F0074A">
        <w:rPr>
          <w:rFonts w:eastAsia="Batang"/>
          <w:sz w:val="18"/>
          <w:szCs w:val="18"/>
          <w:lang w:eastAsia="en-US"/>
        </w:rPr>
        <w:t>.</w:t>
      </w:r>
    </w:p>
    <w:p w14:paraId="760F2BC0" w14:textId="77777777" w:rsidR="000012D0" w:rsidRPr="00F0074A" w:rsidRDefault="000012D0" w:rsidP="000012D0">
      <w:pPr>
        <w:tabs>
          <w:tab w:val="left" w:pos="567"/>
        </w:tabs>
        <w:spacing w:line="240" w:lineRule="auto"/>
        <w:rPr>
          <w:rFonts w:eastAsia="Batang"/>
          <w:lang w:eastAsia="en-US"/>
        </w:rPr>
      </w:pPr>
    </w:p>
    <w:p w14:paraId="3F0E5DE9" w14:textId="77777777" w:rsidR="00E61F1A" w:rsidRPr="00F0074A" w:rsidRDefault="00E61F1A" w:rsidP="00E61F1A">
      <w:pPr>
        <w:numPr>
          <w:ilvl w:val="0"/>
          <w:numId w:val="11"/>
        </w:numPr>
        <w:tabs>
          <w:tab w:val="left" w:pos="567"/>
          <w:tab w:val="num" w:pos="1569"/>
          <w:tab w:val="num" w:pos="12305"/>
        </w:tabs>
        <w:spacing w:line="240" w:lineRule="auto"/>
        <w:ind w:left="0" w:firstLine="0"/>
        <w:rPr>
          <w:rFonts w:eastAsia="Batang"/>
          <w:lang w:eastAsia="en-US"/>
        </w:rPr>
      </w:pPr>
      <w:r w:rsidRPr="00F0074A">
        <w:rPr>
          <w:rFonts w:eastAsia="Batang"/>
          <w:lang w:eastAsia="en-US"/>
        </w:rPr>
        <w:t xml:space="preserve">En vista de lo anterior, </w:t>
      </w:r>
      <w:r w:rsidR="007A0C3C" w:rsidRPr="00F0074A">
        <w:rPr>
          <w:rFonts w:eastAsia="Batang"/>
          <w:lang w:eastAsia="en-US"/>
        </w:rPr>
        <w:t>el auto</w:t>
      </w:r>
      <w:r w:rsidRPr="00F0074A">
        <w:rPr>
          <w:rFonts w:eastAsia="Batang"/>
          <w:lang w:eastAsia="en-US"/>
        </w:rPr>
        <w:t xml:space="preserve"> acordó la imposición de la prisión preventiva indicando lo siguiente:</w:t>
      </w:r>
    </w:p>
    <w:p w14:paraId="2535828C" w14:textId="77777777" w:rsidR="00E61F1A" w:rsidRPr="00F0074A" w:rsidRDefault="00E61F1A" w:rsidP="000012D0">
      <w:pPr>
        <w:tabs>
          <w:tab w:val="left" w:pos="567"/>
        </w:tabs>
        <w:spacing w:line="240" w:lineRule="auto"/>
        <w:rPr>
          <w:rFonts w:eastAsia="Batang"/>
          <w:lang w:eastAsia="en-US"/>
        </w:rPr>
      </w:pPr>
    </w:p>
    <w:p w14:paraId="10DDF29A" w14:textId="7C45F6D4" w:rsidR="00E61F1A" w:rsidRPr="00F0074A" w:rsidRDefault="00537440" w:rsidP="00E61F1A">
      <w:pPr>
        <w:tabs>
          <w:tab w:val="left" w:pos="567"/>
          <w:tab w:val="num" w:pos="1569"/>
          <w:tab w:val="num" w:pos="12305"/>
        </w:tabs>
        <w:spacing w:line="240" w:lineRule="auto"/>
        <w:ind w:left="720" w:right="630"/>
        <w:rPr>
          <w:rFonts w:eastAsia="Batang"/>
          <w:sz w:val="18"/>
          <w:szCs w:val="18"/>
          <w:lang w:eastAsia="en-US"/>
        </w:rPr>
      </w:pPr>
      <w:r>
        <w:rPr>
          <w:rFonts w:eastAsia="Batang"/>
          <w:sz w:val="18"/>
          <w:szCs w:val="18"/>
          <w:lang w:eastAsia="en-US"/>
        </w:rPr>
        <w:t xml:space="preserve">[…] </w:t>
      </w:r>
      <w:r w:rsidR="00E61F1A" w:rsidRPr="00F0074A">
        <w:rPr>
          <w:rFonts w:eastAsia="Batang"/>
          <w:sz w:val="18"/>
          <w:szCs w:val="18"/>
          <w:lang w:eastAsia="en-US"/>
        </w:rPr>
        <w:t>Por lo expuesto he de disponer el procesamiento de los mencionados y atento la calificación que se adopta, en virtud de no corresponder condena de ejecución condicional, también la prisión preventiva, en orden al delito ‘ut supra mencionado’</w:t>
      </w:r>
      <w:r w:rsidR="00E61F1A" w:rsidRPr="00F0074A">
        <w:rPr>
          <w:rStyle w:val="Refdenotaalpie"/>
          <w:rFonts w:eastAsia="Batang"/>
          <w:sz w:val="18"/>
          <w:szCs w:val="18"/>
          <w:lang w:eastAsia="en-US"/>
        </w:rPr>
        <w:footnoteReference w:id="80"/>
      </w:r>
      <w:r w:rsidR="00E61F1A" w:rsidRPr="00F0074A">
        <w:rPr>
          <w:rFonts w:eastAsia="Batang"/>
          <w:sz w:val="18"/>
          <w:szCs w:val="18"/>
          <w:lang w:eastAsia="en-US"/>
        </w:rPr>
        <w:t>.</w:t>
      </w:r>
    </w:p>
    <w:p w14:paraId="2DB0CB33" w14:textId="77777777" w:rsidR="00E61F1A" w:rsidRPr="00F0074A" w:rsidRDefault="00E61F1A" w:rsidP="00E61F1A">
      <w:pPr>
        <w:widowControl/>
        <w:autoSpaceDE w:val="0"/>
        <w:autoSpaceDN w:val="0"/>
        <w:spacing w:line="240" w:lineRule="auto"/>
        <w:jc w:val="left"/>
        <w:textAlignment w:val="auto"/>
        <w:rPr>
          <w:rFonts w:eastAsia="Batang"/>
          <w:lang w:eastAsia="en-US"/>
        </w:rPr>
      </w:pPr>
    </w:p>
    <w:p w14:paraId="7FCCD888" w14:textId="4484AFA8" w:rsidR="007A0C3C" w:rsidRPr="00F0074A" w:rsidRDefault="002307A9" w:rsidP="00E61F1A">
      <w:pPr>
        <w:numPr>
          <w:ilvl w:val="0"/>
          <w:numId w:val="11"/>
        </w:numPr>
        <w:tabs>
          <w:tab w:val="left" w:pos="567"/>
          <w:tab w:val="num" w:pos="1569"/>
          <w:tab w:val="num" w:pos="12305"/>
        </w:tabs>
        <w:spacing w:line="240" w:lineRule="auto"/>
        <w:ind w:left="0" w:firstLine="0"/>
        <w:rPr>
          <w:rFonts w:eastAsia="Batang"/>
          <w:lang w:eastAsia="en-US"/>
        </w:rPr>
      </w:pPr>
      <w:r w:rsidRPr="00F87E0F">
        <w:rPr>
          <w:rFonts w:eastAsia="Batang"/>
          <w:lang w:eastAsia="en-US"/>
        </w:rPr>
        <w:t>La Corte advierte además que el mencionado auto no esboza ningún argumento con respecto a las razones por las cuales la prisión preventiva del señor Jenkins era necesaria</w:t>
      </w:r>
      <w:r w:rsidR="00F87E0F" w:rsidRPr="004F183C">
        <w:rPr>
          <w:rFonts w:eastAsia="Batang"/>
          <w:lang w:eastAsia="en-US"/>
        </w:rPr>
        <w:t>, idónea y proporcional al fin perseguido</w:t>
      </w:r>
      <w:r w:rsidR="00F87E0F">
        <w:rPr>
          <w:rFonts w:eastAsia="Batang"/>
          <w:lang w:eastAsia="en-US"/>
        </w:rPr>
        <w:t>, sino que únicamente se centra en la existencia de indicios que vincularían al señor Jenkins con la comisión de un delito de narcotráfico</w:t>
      </w:r>
      <w:r w:rsidR="003754B6" w:rsidRPr="00F87E0F">
        <w:rPr>
          <w:rFonts w:eastAsia="Batang"/>
          <w:lang w:eastAsia="en-US"/>
        </w:rPr>
        <w:t>.</w:t>
      </w:r>
      <w:r w:rsidR="00F87E0F">
        <w:rPr>
          <w:rFonts w:eastAsia="Batang"/>
          <w:lang w:eastAsia="en-US"/>
        </w:rPr>
        <w:t xml:space="preserve"> </w:t>
      </w:r>
      <w:r w:rsidR="00E61F1A" w:rsidRPr="00F0074A">
        <w:rPr>
          <w:rFonts w:eastAsia="Batang"/>
          <w:lang w:eastAsia="en-US"/>
        </w:rPr>
        <w:t xml:space="preserve">Asimismo, la Corte observa que en la sentencia de 30 de abril de 2007 dictada por el Juzgado Contencioso Administrativo Federal No. 10 rechazando la demanda interpuesta de daños y perjuicios por el </w:t>
      </w:r>
      <w:r>
        <w:rPr>
          <w:rFonts w:eastAsia="Batang"/>
          <w:lang w:eastAsia="en-US"/>
        </w:rPr>
        <w:t>señor</w:t>
      </w:r>
      <w:r w:rsidR="00E61F1A" w:rsidRPr="00F0074A">
        <w:rPr>
          <w:rFonts w:eastAsia="Batang"/>
          <w:lang w:eastAsia="en-US"/>
        </w:rPr>
        <w:t xml:space="preserve"> Jenkins se realiz</w:t>
      </w:r>
      <w:r w:rsidR="008D46B3">
        <w:rPr>
          <w:rFonts w:eastAsia="Batang"/>
          <w:lang w:eastAsia="en-US"/>
        </w:rPr>
        <w:t>ó</w:t>
      </w:r>
      <w:r w:rsidR="00E61F1A" w:rsidRPr="00F0074A">
        <w:rPr>
          <w:rFonts w:eastAsia="Batang"/>
          <w:lang w:eastAsia="en-US"/>
        </w:rPr>
        <w:t xml:space="preserve"> un análisis del auto de prisión preventiva</w:t>
      </w:r>
      <w:r w:rsidR="007A0C3C" w:rsidRPr="00F0074A">
        <w:rPr>
          <w:rFonts w:eastAsia="Batang"/>
          <w:lang w:eastAsia="en-US"/>
        </w:rPr>
        <w:t>,</w:t>
      </w:r>
      <w:r w:rsidR="008D46B3">
        <w:rPr>
          <w:rFonts w:eastAsia="Batang"/>
          <w:lang w:eastAsia="en-US"/>
        </w:rPr>
        <w:t xml:space="preserve"> en virtud del cual se consideró</w:t>
      </w:r>
      <w:r w:rsidR="007A0C3C" w:rsidRPr="00F0074A">
        <w:rPr>
          <w:rFonts w:eastAsia="Batang"/>
          <w:lang w:eastAsia="en-US"/>
        </w:rPr>
        <w:t xml:space="preserve"> que el mismo “no se revela[ba] como incuestionablemente infundado o arbitr</w:t>
      </w:r>
      <w:r>
        <w:rPr>
          <w:rFonts w:eastAsia="Batang"/>
          <w:lang w:eastAsia="en-US"/>
        </w:rPr>
        <w:t>ario”, centrándose</w:t>
      </w:r>
      <w:r w:rsidR="007A0C3C" w:rsidRPr="00F0074A">
        <w:rPr>
          <w:rFonts w:eastAsia="Batang"/>
          <w:lang w:eastAsia="en-US"/>
        </w:rPr>
        <w:t xml:space="preserve"> sobre los indicios que existían en torno al señor Jenkins:</w:t>
      </w:r>
    </w:p>
    <w:p w14:paraId="709BE2AC" w14:textId="77777777" w:rsidR="007A0C3C" w:rsidRPr="00F0074A" w:rsidRDefault="007A0C3C" w:rsidP="007A0C3C">
      <w:pPr>
        <w:tabs>
          <w:tab w:val="left" w:pos="567"/>
        </w:tabs>
        <w:spacing w:line="240" w:lineRule="auto"/>
        <w:rPr>
          <w:rFonts w:eastAsia="Batang"/>
          <w:lang w:eastAsia="en-US"/>
        </w:rPr>
      </w:pPr>
    </w:p>
    <w:p w14:paraId="2753D7B2" w14:textId="65F16569" w:rsidR="00E61F1A" w:rsidRPr="00F0074A" w:rsidRDefault="00537440" w:rsidP="007A0C3C">
      <w:pPr>
        <w:tabs>
          <w:tab w:val="left" w:pos="567"/>
          <w:tab w:val="num" w:pos="1569"/>
          <w:tab w:val="num" w:pos="12305"/>
        </w:tabs>
        <w:spacing w:line="240" w:lineRule="auto"/>
        <w:ind w:left="720" w:right="630"/>
        <w:rPr>
          <w:rFonts w:eastAsia="Batang"/>
          <w:sz w:val="18"/>
          <w:szCs w:val="18"/>
          <w:lang w:eastAsia="en-US"/>
        </w:rPr>
      </w:pPr>
      <w:r>
        <w:rPr>
          <w:rFonts w:eastAsia="Batang"/>
          <w:sz w:val="18"/>
          <w:szCs w:val="18"/>
          <w:lang w:eastAsia="en-US"/>
        </w:rPr>
        <w:t xml:space="preserve">[…] </w:t>
      </w:r>
      <w:r w:rsidR="007A0C3C" w:rsidRPr="00F0074A">
        <w:rPr>
          <w:rFonts w:eastAsia="Batang"/>
          <w:sz w:val="18"/>
          <w:szCs w:val="18"/>
          <w:lang w:eastAsia="en-US"/>
        </w:rPr>
        <w:t>Todo lo contrario. A poco que se advierta, y pese a lo soste</w:t>
      </w:r>
      <w:r w:rsidR="00FF4308">
        <w:rPr>
          <w:rFonts w:eastAsia="Batang"/>
          <w:sz w:val="18"/>
          <w:szCs w:val="18"/>
          <w:lang w:eastAsia="en-US"/>
        </w:rPr>
        <w:t>nido por el actor, no sólo tuvo</w:t>
      </w:r>
      <w:r w:rsidR="007A0C3C" w:rsidRPr="00F0074A">
        <w:rPr>
          <w:rFonts w:eastAsia="Batang"/>
          <w:sz w:val="18"/>
          <w:szCs w:val="18"/>
          <w:lang w:eastAsia="en-US"/>
        </w:rPr>
        <w:t xml:space="preserve"> en cuenta dicha providencia la conversación a que se refiere la cassette N° 40, sino que distintos fueron los elementos probatorios que -valorados en su conjunto dentro de un contexto de indicios y dada la etapa del proceso en que se dictó convencieron al Juzg</w:t>
      </w:r>
      <w:r w:rsidR="00FF4308">
        <w:rPr>
          <w:rFonts w:eastAsia="Batang"/>
          <w:sz w:val="18"/>
          <w:szCs w:val="18"/>
          <w:lang w:eastAsia="en-US"/>
        </w:rPr>
        <w:t>ador en el sentido de disponer l</w:t>
      </w:r>
      <w:r w:rsidR="007A0C3C" w:rsidRPr="00F0074A">
        <w:rPr>
          <w:rFonts w:eastAsia="Batang"/>
          <w:sz w:val="18"/>
          <w:szCs w:val="18"/>
          <w:lang w:eastAsia="en-US"/>
        </w:rPr>
        <w:t>a medida preventiva que</w:t>
      </w:r>
      <w:r w:rsidR="001A3D54">
        <w:rPr>
          <w:rFonts w:eastAsia="Batang"/>
          <w:sz w:val="18"/>
          <w:szCs w:val="18"/>
          <w:lang w:eastAsia="en-US"/>
        </w:rPr>
        <w:t xml:space="preserve"> </w:t>
      </w:r>
      <w:r w:rsidR="007A0C3C" w:rsidRPr="00F0074A">
        <w:rPr>
          <w:rFonts w:eastAsia="Batang"/>
          <w:sz w:val="18"/>
          <w:szCs w:val="18"/>
          <w:lang w:eastAsia="en-US"/>
        </w:rPr>
        <w:t>ahora cuestiona el actor</w:t>
      </w:r>
      <w:r w:rsidR="00E61F1A" w:rsidRPr="00F0074A">
        <w:rPr>
          <w:rFonts w:eastAsia="Batang"/>
          <w:sz w:val="18"/>
          <w:szCs w:val="18"/>
          <w:vertAlign w:val="superscript"/>
          <w:lang w:eastAsia="en-US"/>
        </w:rPr>
        <w:footnoteReference w:id="81"/>
      </w:r>
      <w:r w:rsidR="007A0C3C" w:rsidRPr="00F0074A">
        <w:rPr>
          <w:rFonts w:eastAsia="Batang"/>
          <w:sz w:val="18"/>
          <w:szCs w:val="18"/>
          <w:lang w:eastAsia="en-US"/>
        </w:rPr>
        <w:t>.</w:t>
      </w:r>
    </w:p>
    <w:p w14:paraId="5686A134" w14:textId="77777777" w:rsidR="00E61F1A" w:rsidRPr="00F0074A" w:rsidRDefault="00E61F1A" w:rsidP="00E61F1A">
      <w:pPr>
        <w:tabs>
          <w:tab w:val="left" w:pos="567"/>
        </w:tabs>
        <w:spacing w:line="240" w:lineRule="auto"/>
        <w:rPr>
          <w:rFonts w:eastAsia="Batang"/>
          <w:lang w:eastAsia="en-US"/>
        </w:rPr>
      </w:pPr>
    </w:p>
    <w:p w14:paraId="75EAF098" w14:textId="41C4979A" w:rsidR="006A14B8" w:rsidRDefault="00B810B4" w:rsidP="008F3AC2">
      <w:pPr>
        <w:numPr>
          <w:ilvl w:val="0"/>
          <w:numId w:val="11"/>
        </w:numPr>
        <w:tabs>
          <w:tab w:val="left" w:pos="567"/>
          <w:tab w:val="num" w:pos="1569"/>
          <w:tab w:val="num" w:pos="12305"/>
        </w:tabs>
        <w:spacing w:line="240" w:lineRule="auto"/>
        <w:ind w:left="0" w:firstLine="0"/>
        <w:rPr>
          <w:rFonts w:eastAsia="Batang"/>
          <w:lang w:eastAsia="en-US"/>
        </w:rPr>
      </w:pPr>
      <w:r w:rsidRPr="00F87E0F">
        <w:rPr>
          <w:lang w:val="es-ES"/>
        </w:rPr>
        <w:t>De eso modo, est</w:t>
      </w:r>
      <w:r w:rsidR="00A905B0">
        <w:rPr>
          <w:lang w:val="es-ES"/>
        </w:rPr>
        <w:t>e</w:t>
      </w:r>
      <w:r w:rsidRPr="00F87E0F">
        <w:rPr>
          <w:lang w:val="es-ES"/>
        </w:rPr>
        <w:t xml:space="preserve"> </w:t>
      </w:r>
      <w:r w:rsidR="002307A9" w:rsidRPr="00F87E0F">
        <w:rPr>
          <w:lang w:val="es-ES"/>
        </w:rPr>
        <w:t>Tribunal</w:t>
      </w:r>
      <w:r w:rsidR="007A0C3C" w:rsidRPr="00F87E0F">
        <w:rPr>
          <w:lang w:val="es-ES"/>
        </w:rPr>
        <w:t xml:space="preserve"> considera </w:t>
      </w:r>
      <w:r w:rsidRPr="00F87E0F">
        <w:rPr>
          <w:lang w:val="es-ES"/>
        </w:rPr>
        <w:t xml:space="preserve">que </w:t>
      </w:r>
      <w:r w:rsidR="00A20AA4" w:rsidRPr="00F87E0F">
        <w:rPr>
          <w:lang w:val="es-ES"/>
        </w:rPr>
        <w:t xml:space="preserve">el </w:t>
      </w:r>
      <w:r w:rsidR="007A0C3C" w:rsidRPr="00F87E0F">
        <w:rPr>
          <w:lang w:val="es-ES"/>
        </w:rPr>
        <w:t xml:space="preserve">sólo </w:t>
      </w:r>
      <w:r w:rsidR="00A20AA4" w:rsidRPr="00F87E0F">
        <w:rPr>
          <w:lang w:val="es-ES"/>
        </w:rPr>
        <w:t xml:space="preserve">criterio </w:t>
      </w:r>
      <w:r w:rsidR="007A0C3C" w:rsidRPr="00F87E0F">
        <w:rPr>
          <w:lang w:val="es-ES"/>
        </w:rPr>
        <w:t xml:space="preserve">de la existencia de indicios </w:t>
      </w:r>
      <w:r w:rsidR="007A0C3C" w:rsidRPr="00F87E0F">
        <w:rPr>
          <w:rFonts w:eastAsia="Batang"/>
          <w:lang w:eastAsia="en-US"/>
        </w:rPr>
        <w:t>que permitan suponer razonablemente que la persona sometida al proceso ha participado en el ilícito que se investiga</w:t>
      </w:r>
      <w:r w:rsidR="00A20AA4" w:rsidRPr="004F183C">
        <w:rPr>
          <w:lang w:val="es-ES"/>
        </w:rPr>
        <w:t xml:space="preserve"> no </w:t>
      </w:r>
      <w:r w:rsidR="007A0C3C" w:rsidRPr="004F183C">
        <w:rPr>
          <w:lang w:val="es-ES"/>
        </w:rPr>
        <w:t xml:space="preserve">son suficientes para </w:t>
      </w:r>
      <w:r w:rsidRPr="004F183C">
        <w:rPr>
          <w:lang w:val="es-ES"/>
        </w:rPr>
        <w:t>justificar la imposición de una medida privativa de la libertad</w:t>
      </w:r>
      <w:r w:rsidR="00A20AA4" w:rsidRPr="004F183C">
        <w:rPr>
          <w:lang w:val="es-ES"/>
        </w:rPr>
        <w:t xml:space="preserve">, sino que resulta esencial a </w:t>
      </w:r>
      <w:r w:rsidR="00A20AA4" w:rsidRPr="00875E1D">
        <w:rPr>
          <w:lang w:val="es-ES"/>
        </w:rPr>
        <w:t xml:space="preserve">acudir a elementos relativos a la finalidad legítima de la medida –esto es, eventual </w:t>
      </w:r>
      <w:r w:rsidR="00A20AA4" w:rsidRPr="008F3AC2">
        <w:rPr>
          <w:rFonts w:eastAsia="Batang"/>
          <w:lang w:eastAsia="en-US"/>
        </w:rPr>
        <w:t>obstaculización</w:t>
      </w:r>
      <w:r w:rsidR="00A20AA4" w:rsidRPr="00875E1D">
        <w:rPr>
          <w:lang w:val="es-ES"/>
        </w:rPr>
        <w:t xml:space="preserve"> del desarrollo normal del procedimiento penal o posibilidad de sustracción a la acción de la justicia</w:t>
      </w:r>
      <w:r w:rsidR="004D7A9A" w:rsidRPr="008372D9">
        <w:rPr>
          <w:lang w:val="es-ES"/>
        </w:rPr>
        <w:t>–</w:t>
      </w:r>
      <w:r w:rsidR="00A20AA4" w:rsidRPr="008372D9">
        <w:rPr>
          <w:lang w:val="es-ES"/>
        </w:rPr>
        <w:t xml:space="preserve"> que lleven a la conclusión de que la medida de prisión preventiva es necesaria y proporcional al fin perseguido</w:t>
      </w:r>
      <w:r w:rsidR="00A20AA4" w:rsidRPr="00F0074A">
        <w:rPr>
          <w:rStyle w:val="Refdenotaalpie"/>
          <w:lang w:val="es-ES"/>
        </w:rPr>
        <w:footnoteReference w:id="82"/>
      </w:r>
      <w:r w:rsidR="00A20AA4" w:rsidRPr="00F87E0F">
        <w:rPr>
          <w:lang w:val="es-ES"/>
        </w:rPr>
        <w:t xml:space="preserve">. </w:t>
      </w:r>
      <w:r w:rsidR="008854AF" w:rsidRPr="00F87E0F">
        <w:rPr>
          <w:rFonts w:eastAsia="Batang"/>
          <w:lang w:eastAsia="en-US"/>
        </w:rPr>
        <w:t>En vista de lo anterior, la Corte concluye</w:t>
      </w:r>
      <w:r w:rsidR="006A14B8" w:rsidRPr="00F87E0F">
        <w:rPr>
          <w:rFonts w:eastAsia="Batang"/>
          <w:lang w:eastAsia="en-US"/>
        </w:rPr>
        <w:t xml:space="preserve"> que la resolución </w:t>
      </w:r>
      <w:r w:rsidR="008854AF" w:rsidRPr="00F87E0F">
        <w:rPr>
          <w:rFonts w:eastAsia="Batang"/>
          <w:lang w:eastAsia="en-US"/>
        </w:rPr>
        <w:t xml:space="preserve">de 29 de junio de 1994 </w:t>
      </w:r>
      <w:r w:rsidR="006A14B8" w:rsidRPr="004F183C">
        <w:rPr>
          <w:rFonts w:eastAsia="Batang"/>
          <w:lang w:eastAsia="en-US"/>
        </w:rPr>
        <w:t>que ordenó la prisión preventiva de señor Jenkins c</w:t>
      </w:r>
      <w:r w:rsidR="008854AF" w:rsidRPr="004F183C">
        <w:rPr>
          <w:rFonts w:eastAsia="Batang"/>
          <w:lang w:eastAsia="en-US"/>
        </w:rPr>
        <w:t>areció de una debida motivación</w:t>
      </w:r>
      <w:r w:rsidR="00F87E0F" w:rsidRPr="00875E1D">
        <w:rPr>
          <w:rFonts w:eastAsia="Batang"/>
          <w:lang w:eastAsia="en-US"/>
        </w:rPr>
        <w:t xml:space="preserve"> en tanto que no expuso las razones por las cuales la medida perseguía un fin legítimo y </w:t>
      </w:r>
      <w:r w:rsidR="00F87E0F" w:rsidRPr="008372D9">
        <w:rPr>
          <w:rFonts w:eastAsia="Batang"/>
          <w:lang w:eastAsia="en-US"/>
        </w:rPr>
        <w:t>era necesaria, idónea y proporcional a dicho fin</w:t>
      </w:r>
      <w:r w:rsidR="006A14B8" w:rsidRPr="008372D9">
        <w:rPr>
          <w:rFonts w:eastAsia="Batang"/>
          <w:lang w:eastAsia="en-US"/>
        </w:rPr>
        <w:t>.</w:t>
      </w:r>
      <w:r w:rsidR="00F87E0F">
        <w:rPr>
          <w:rFonts w:eastAsia="Batang"/>
          <w:lang w:eastAsia="en-US"/>
        </w:rPr>
        <w:t xml:space="preserve"> </w:t>
      </w:r>
      <w:r w:rsidR="006A14B8" w:rsidRPr="00F0074A">
        <w:rPr>
          <w:rFonts w:eastAsia="Batang"/>
          <w:lang w:eastAsia="en-US"/>
        </w:rPr>
        <w:t xml:space="preserve">En consecuencia, </w:t>
      </w:r>
      <w:r w:rsidR="008854AF" w:rsidRPr="00F0074A">
        <w:rPr>
          <w:rFonts w:eastAsia="Batang"/>
          <w:lang w:eastAsia="en-US"/>
        </w:rPr>
        <w:t>el Estado es internacionalmente responsable por la violación de</w:t>
      </w:r>
      <w:r w:rsidR="006A14B8" w:rsidRPr="00F0074A">
        <w:rPr>
          <w:rFonts w:eastAsia="Batang"/>
          <w:lang w:eastAsia="en-US"/>
        </w:rPr>
        <w:t xml:space="preserve"> los artículos 7.1, 7.3 de la Convención</w:t>
      </w:r>
      <w:r w:rsidR="004D7A9A" w:rsidRPr="00F0074A">
        <w:rPr>
          <w:rFonts w:eastAsia="Batang"/>
          <w:lang w:eastAsia="en-US"/>
        </w:rPr>
        <w:t>,</w:t>
      </w:r>
      <w:r w:rsidR="006A14B8" w:rsidRPr="00F0074A">
        <w:rPr>
          <w:rFonts w:eastAsia="Batang"/>
          <w:lang w:eastAsia="en-US"/>
        </w:rPr>
        <w:t xml:space="preserve"> en relación con el artículo 8.2 y el artículo 1.1. </w:t>
      </w:r>
      <w:r w:rsidR="008854AF" w:rsidRPr="00F0074A">
        <w:rPr>
          <w:rFonts w:eastAsia="Batang"/>
          <w:lang w:eastAsia="en-US"/>
        </w:rPr>
        <w:t>del mismo instrumento</w:t>
      </w:r>
      <w:r w:rsidR="006A14B8" w:rsidRPr="00F0074A">
        <w:rPr>
          <w:rFonts w:eastAsia="Batang"/>
          <w:lang w:eastAsia="en-US"/>
        </w:rPr>
        <w:t>.</w:t>
      </w:r>
    </w:p>
    <w:p w14:paraId="3BAF29CE" w14:textId="77777777" w:rsidR="0014742A" w:rsidRDefault="0014742A" w:rsidP="0014742A">
      <w:pPr>
        <w:pStyle w:val="Ttulo3"/>
      </w:pPr>
      <w:r w:rsidRPr="00F0074A">
        <w:tab/>
      </w:r>
      <w:bookmarkStart w:id="73" w:name="_Toc27405433"/>
      <w:r w:rsidRPr="00F0074A">
        <w:t xml:space="preserve">b.2 </w:t>
      </w:r>
      <w:r w:rsidR="004F183C">
        <w:t>Duración</w:t>
      </w:r>
      <w:r w:rsidR="008F2941">
        <w:t xml:space="preserve"> de</w:t>
      </w:r>
      <w:r w:rsidR="004968EC">
        <w:t xml:space="preserve"> la prisión preventiva</w:t>
      </w:r>
      <w:bookmarkEnd w:id="73"/>
      <w:r w:rsidR="00407D53" w:rsidRPr="00F0074A">
        <w:t xml:space="preserve"> </w:t>
      </w:r>
    </w:p>
    <w:p w14:paraId="49E39D3A" w14:textId="77777777" w:rsidR="000C2689" w:rsidRPr="00972472" w:rsidRDefault="000C2689" w:rsidP="000C2689">
      <w:pPr>
        <w:numPr>
          <w:ilvl w:val="0"/>
          <w:numId w:val="11"/>
        </w:numPr>
        <w:tabs>
          <w:tab w:val="left" w:pos="567"/>
          <w:tab w:val="num" w:pos="1569"/>
          <w:tab w:val="num" w:pos="12305"/>
        </w:tabs>
        <w:spacing w:line="240" w:lineRule="auto"/>
        <w:ind w:left="0" w:firstLine="0"/>
        <w:rPr>
          <w:rFonts w:eastAsia="Batang"/>
          <w:lang w:eastAsia="en-US"/>
        </w:rPr>
      </w:pPr>
      <w:r>
        <w:rPr>
          <w:rFonts w:eastAsia="Batang"/>
          <w:lang w:eastAsia="en-US"/>
        </w:rPr>
        <w:t>L</w:t>
      </w:r>
      <w:r w:rsidRPr="00F0074A">
        <w:rPr>
          <w:rFonts w:eastAsia="Batang"/>
          <w:lang w:eastAsia="en-US"/>
        </w:rPr>
        <w:t>a Corte ha precisado que una de las características que debe tener una medida de detención o prisión preventiva para ajustarse a las disposiciones de la Convención es estar sujeta a revisión periódica</w:t>
      </w:r>
      <w:r w:rsidRPr="00F0074A">
        <w:rPr>
          <w:rFonts w:eastAsia="Calibri"/>
          <w:spacing w:val="-2"/>
          <w:vertAlign w:val="superscript"/>
        </w:rPr>
        <w:footnoteReference w:id="83"/>
      </w:r>
      <w:r w:rsidRPr="00F0074A">
        <w:rPr>
          <w:rFonts w:eastAsia="Batang"/>
          <w:lang w:eastAsia="en-US"/>
        </w:rPr>
        <w:t>, de tal forma que no se prolongue cuando no subsistan las razones que motivaron su adopción. En este orden de ideas, el juez no tiene que esperar hasta el momento de dictar sentencia absolutoria para que una persona detenida recupere su libertad, sino que debe valorar periódicamente si las causas, necesidad y proporcionalidad de la medida se mantienen, y si el plazo de la detención ha sobrepasado los límites que imponen la ley y la razón. En cualquier momento en que aparezca que la prisión preventiva no satisface estas condiciones, deberá decretarse la libertad, sin perjuicio de que el proceso respectivo continúe</w:t>
      </w:r>
      <w:r w:rsidRPr="00F0074A">
        <w:rPr>
          <w:rFonts w:eastAsia="Calibri"/>
          <w:spacing w:val="-2"/>
          <w:vertAlign w:val="superscript"/>
        </w:rPr>
        <w:footnoteReference w:id="84"/>
      </w:r>
      <w:r w:rsidRPr="00716DEE">
        <w:rPr>
          <w:rFonts w:eastAsia="Calibri"/>
          <w:spacing w:val="-2"/>
        </w:rPr>
        <w:t>.</w:t>
      </w:r>
    </w:p>
    <w:p w14:paraId="3C13884C" w14:textId="77777777" w:rsidR="000C2689" w:rsidRPr="00F0074A" w:rsidRDefault="000C2689" w:rsidP="000C2689">
      <w:pPr>
        <w:tabs>
          <w:tab w:val="left" w:pos="567"/>
        </w:tabs>
        <w:spacing w:line="240" w:lineRule="auto"/>
        <w:rPr>
          <w:rFonts w:eastAsia="Batang"/>
          <w:lang w:eastAsia="en-US"/>
        </w:rPr>
      </w:pPr>
    </w:p>
    <w:p w14:paraId="5460975C" w14:textId="2E2F904E" w:rsidR="000C2689" w:rsidRPr="00972472" w:rsidRDefault="00183A69" w:rsidP="000C2689">
      <w:pPr>
        <w:numPr>
          <w:ilvl w:val="0"/>
          <w:numId w:val="11"/>
        </w:numPr>
        <w:tabs>
          <w:tab w:val="left" w:pos="567"/>
          <w:tab w:val="num" w:pos="1569"/>
          <w:tab w:val="num" w:pos="12305"/>
        </w:tabs>
        <w:spacing w:line="240" w:lineRule="auto"/>
        <w:ind w:left="0" w:firstLine="0"/>
        <w:rPr>
          <w:rFonts w:eastAsiaTheme="minorHAnsi"/>
          <w:sz w:val="16"/>
          <w:szCs w:val="16"/>
          <w:lang w:eastAsia="en-US"/>
        </w:rPr>
      </w:pPr>
      <w:r>
        <w:rPr>
          <w:rFonts w:eastAsia="Batang"/>
          <w:lang w:eastAsia="en-US"/>
        </w:rPr>
        <w:t>En este sentido</w:t>
      </w:r>
      <w:r w:rsidR="000C2689">
        <w:rPr>
          <w:rFonts w:eastAsia="Batang"/>
          <w:lang w:eastAsia="en-US"/>
        </w:rPr>
        <w:t xml:space="preserve">, </w:t>
      </w:r>
      <w:r w:rsidR="000C2689" w:rsidRPr="00F0074A">
        <w:rPr>
          <w:rFonts w:eastAsia="Batang"/>
          <w:lang w:eastAsia="en-US"/>
        </w:rPr>
        <w:t xml:space="preserve">el artículo 7.5 de la Convención impone límites temporales a la duración de la prisión preventiva y, en consecuencia, a las facultades del Estado para asegurar los fines del proceso </w:t>
      </w:r>
      <w:r w:rsidR="000C2689" w:rsidRPr="00F0074A">
        <w:rPr>
          <w:rFonts w:eastAsiaTheme="minorHAnsi"/>
          <w:lang w:eastAsia="en-US"/>
        </w:rPr>
        <w:t>mediante</w:t>
      </w:r>
      <w:r w:rsidR="000C2689" w:rsidRPr="00F0074A">
        <w:rPr>
          <w:rFonts w:eastAsia="Batang"/>
          <w:lang w:eastAsia="en-US"/>
        </w:rPr>
        <w:t xml:space="preserve"> esta medida cautelar. Cuando el plazo de la detención preventiva sobrepasa lo razonable, el Estado podrá limitar la libertad del imputado con otras medidas menos lesivas que aseguren su comparecencia al juicio, distintas de la privación de libertad</w:t>
      </w:r>
      <w:r w:rsidR="000C2689" w:rsidRPr="00F0074A">
        <w:rPr>
          <w:rFonts w:eastAsia="Calibri"/>
          <w:spacing w:val="-2"/>
          <w:vertAlign w:val="superscript"/>
        </w:rPr>
        <w:footnoteReference w:id="85"/>
      </w:r>
      <w:r w:rsidR="000C2689" w:rsidRPr="002307A9">
        <w:rPr>
          <w:rFonts w:eastAsia="Calibri"/>
          <w:spacing w:val="-2"/>
        </w:rPr>
        <w:t>.</w:t>
      </w:r>
      <w:r w:rsidR="000C2689" w:rsidRPr="002307A9">
        <w:rPr>
          <w:rFonts w:eastAsia="Batang"/>
          <w:lang w:eastAsia="en-US"/>
        </w:rPr>
        <w:t xml:space="preserve"> </w:t>
      </w:r>
      <w:r w:rsidR="000C2689" w:rsidRPr="00F0074A">
        <w:rPr>
          <w:rFonts w:eastAsia="Batang"/>
          <w:lang w:eastAsia="en-US"/>
        </w:rPr>
        <w:t>Es decir, aun cuando medien razones para mantener a una persona en prisión preventiva, el artículo 7.5 garantiza que aquélla sea liberada si el período de la detención ha excedido el límite de lo razonable</w:t>
      </w:r>
      <w:r w:rsidR="000C2689" w:rsidRPr="00F0074A">
        <w:rPr>
          <w:rFonts w:eastAsia="Calibri"/>
          <w:spacing w:val="-2"/>
          <w:vertAlign w:val="superscript"/>
        </w:rPr>
        <w:footnoteReference w:id="86"/>
      </w:r>
      <w:r w:rsidR="000C2689" w:rsidRPr="00F0074A">
        <w:rPr>
          <w:rFonts w:eastAsia="Calibri"/>
          <w:spacing w:val="-2"/>
        </w:rPr>
        <w:t>.</w:t>
      </w:r>
      <w:r w:rsidR="000C2689" w:rsidRPr="00F0074A">
        <w:rPr>
          <w:rFonts w:eastAsia="Batang"/>
          <w:lang w:eastAsia="en-US"/>
        </w:rPr>
        <w:t xml:space="preserve"> </w:t>
      </w:r>
    </w:p>
    <w:p w14:paraId="189B96C4" w14:textId="77777777" w:rsidR="000C2689" w:rsidRPr="00972472" w:rsidRDefault="000C2689" w:rsidP="000C2689">
      <w:pPr>
        <w:tabs>
          <w:tab w:val="left" w:pos="567"/>
        </w:tabs>
        <w:spacing w:line="240" w:lineRule="auto"/>
        <w:rPr>
          <w:rFonts w:eastAsiaTheme="minorHAnsi"/>
          <w:sz w:val="16"/>
          <w:szCs w:val="16"/>
          <w:lang w:eastAsia="en-US"/>
        </w:rPr>
      </w:pPr>
    </w:p>
    <w:p w14:paraId="23F397B9" w14:textId="77777777" w:rsidR="000C2689" w:rsidRPr="00F0074A" w:rsidRDefault="00183A69" w:rsidP="000C2689">
      <w:pPr>
        <w:numPr>
          <w:ilvl w:val="0"/>
          <w:numId w:val="11"/>
        </w:numPr>
        <w:tabs>
          <w:tab w:val="left" w:pos="567"/>
          <w:tab w:val="num" w:pos="1569"/>
          <w:tab w:val="num" w:pos="12305"/>
        </w:tabs>
        <w:spacing w:line="240" w:lineRule="auto"/>
        <w:ind w:left="0" w:firstLine="0"/>
        <w:rPr>
          <w:rFonts w:eastAsia="Batang"/>
          <w:lang w:eastAsia="en-US"/>
        </w:rPr>
      </w:pPr>
      <w:r>
        <w:rPr>
          <w:rFonts w:eastAsia="Batang"/>
          <w:lang w:eastAsia="en-US"/>
        </w:rPr>
        <w:t>Este</w:t>
      </w:r>
      <w:r w:rsidR="000C2689" w:rsidRPr="00F0074A">
        <w:rPr>
          <w:rFonts w:eastAsia="Batang"/>
          <w:lang w:eastAsia="en-US"/>
        </w:rPr>
        <w:t xml:space="preserve"> Tribunal ha observado que son las autoridades nacionales las encargadas de valorar la pertinencia o no del mantenimiento de las medidas cautelares que emiten conforme a su propio ordenamiento. Al realizar esta tarea, las autoridades nacionales deben ofrecer los fundamentos suficientes que permitan conocer los motivos por los cuales se mantiene la restricción de la libertad</w:t>
      </w:r>
      <w:r w:rsidR="000C2689" w:rsidRPr="00F0074A">
        <w:rPr>
          <w:rFonts w:eastAsia="Calibri"/>
          <w:spacing w:val="-2"/>
          <w:vertAlign w:val="superscript"/>
        </w:rPr>
        <w:footnoteReference w:id="87"/>
      </w:r>
      <w:r w:rsidR="000C2689" w:rsidRPr="00F0074A">
        <w:rPr>
          <w:rFonts w:eastAsia="Calibri"/>
          <w:spacing w:val="-2"/>
        </w:rPr>
        <w:t>,</w:t>
      </w:r>
      <w:r w:rsidR="000C2689" w:rsidRPr="00F0074A">
        <w:rPr>
          <w:rFonts w:eastAsia="Batang"/>
          <w:lang w:eastAsia="en-US"/>
        </w:rPr>
        <w:t xml:space="preserve"> la cual, para que no se erija en una privación de libertad arbitraria, de acuerdo con el artículo 7.3 de la Convención Americana, debe estar fundada en la necesidad de asegurar que el detenido no impedirá el desarrollo eficiente de las investigaciones ni eludirá la acción de la justicia</w:t>
      </w:r>
      <w:r w:rsidR="000C2689" w:rsidRPr="00F0074A">
        <w:rPr>
          <w:rFonts w:eastAsia="Calibri"/>
          <w:spacing w:val="-2"/>
          <w:vertAlign w:val="superscript"/>
        </w:rPr>
        <w:footnoteReference w:id="88"/>
      </w:r>
      <w:r w:rsidR="000C2689" w:rsidRPr="00F0074A">
        <w:rPr>
          <w:rFonts w:eastAsia="Calibri"/>
          <w:spacing w:val="-2"/>
        </w:rPr>
        <w:t>.</w:t>
      </w:r>
      <w:r w:rsidR="000C2689" w:rsidRPr="00F0074A">
        <w:rPr>
          <w:rFonts w:eastAsia="Batang"/>
          <w:lang w:eastAsia="en-US"/>
        </w:rPr>
        <w:t xml:space="preserve"> De igual forma, ante cada solicitud de liberación del detenido, el juez tiene que motivar aunque sea de forma mínima las razones por las cuales considera que la prisión preventiva debe mantenerse</w:t>
      </w:r>
      <w:r w:rsidR="000C2689" w:rsidRPr="00F0074A">
        <w:rPr>
          <w:rFonts w:eastAsia="Calibri"/>
          <w:spacing w:val="-2"/>
          <w:vertAlign w:val="superscript"/>
        </w:rPr>
        <w:footnoteReference w:id="89"/>
      </w:r>
      <w:r w:rsidR="000C2689" w:rsidRPr="00F0074A">
        <w:rPr>
          <w:rFonts w:eastAsia="Batang"/>
          <w:lang w:eastAsia="en-US"/>
        </w:rPr>
        <w:t>.</w:t>
      </w:r>
    </w:p>
    <w:p w14:paraId="531068BA" w14:textId="77777777" w:rsidR="000C2689" w:rsidRPr="004F183C" w:rsidRDefault="000C2689" w:rsidP="00875E1D"/>
    <w:p w14:paraId="378E7D37" w14:textId="4630A1F6" w:rsidR="004968EC" w:rsidRPr="00875E1D" w:rsidRDefault="00932D7E" w:rsidP="00932D7E">
      <w:pPr>
        <w:numPr>
          <w:ilvl w:val="0"/>
          <w:numId w:val="11"/>
        </w:numPr>
        <w:tabs>
          <w:tab w:val="left" w:pos="567"/>
          <w:tab w:val="num" w:pos="1569"/>
          <w:tab w:val="num" w:pos="12305"/>
        </w:tabs>
        <w:spacing w:line="240" w:lineRule="auto"/>
        <w:ind w:left="0" w:firstLine="0"/>
        <w:rPr>
          <w:rFonts w:eastAsiaTheme="minorHAnsi"/>
          <w:sz w:val="16"/>
          <w:szCs w:val="16"/>
          <w:lang w:eastAsia="en-US"/>
        </w:rPr>
      </w:pPr>
      <w:r w:rsidRPr="00F0074A">
        <w:rPr>
          <w:rFonts w:eastAsia="Batang"/>
          <w:lang w:eastAsia="en-US"/>
        </w:rPr>
        <w:t>A continuación la Corte analizará</w:t>
      </w:r>
      <w:r w:rsidR="008F2941">
        <w:rPr>
          <w:rFonts w:eastAsia="Batang"/>
          <w:lang w:eastAsia="en-US"/>
        </w:rPr>
        <w:t>, en primer lugar,</w:t>
      </w:r>
      <w:r w:rsidRPr="00F0074A">
        <w:rPr>
          <w:rFonts w:eastAsia="Batang"/>
          <w:lang w:eastAsia="en-US"/>
        </w:rPr>
        <w:t xml:space="preserve"> el rechazo por parte de los tribunales nacionales de aplicar al señor Jenkins el límite máximo de dos (o, en su caso</w:t>
      </w:r>
      <w:r w:rsidR="008D46B3">
        <w:rPr>
          <w:rFonts w:eastAsia="Batang"/>
          <w:lang w:eastAsia="en-US"/>
        </w:rPr>
        <w:t>,</w:t>
      </w:r>
      <w:r w:rsidRPr="00F0074A">
        <w:rPr>
          <w:rFonts w:eastAsia="Batang"/>
          <w:lang w:eastAsia="en-US"/>
        </w:rPr>
        <w:t xml:space="preserve"> tres) años de prisión provisional establec</w:t>
      </w:r>
      <w:r w:rsidR="00560ED8">
        <w:rPr>
          <w:rFonts w:eastAsia="Batang"/>
          <w:lang w:eastAsia="en-US"/>
        </w:rPr>
        <w:t>ido en el artículo 1 de la Ley N</w:t>
      </w:r>
      <w:r w:rsidRPr="00F0074A">
        <w:rPr>
          <w:rFonts w:eastAsia="Batang"/>
          <w:lang w:eastAsia="en-US"/>
        </w:rPr>
        <w:t xml:space="preserve">o. </w:t>
      </w:r>
      <w:r w:rsidRPr="00F0074A">
        <w:rPr>
          <w:rFonts w:eastAsiaTheme="minorHAnsi"/>
          <w:lang w:eastAsia="en-US"/>
        </w:rPr>
        <w:t>24.390, en aplicación de la excepción que recogía el artículo 10 de la citada ley</w:t>
      </w:r>
      <w:r w:rsidR="00407D53" w:rsidRPr="00F0074A">
        <w:rPr>
          <w:rFonts w:eastAsiaTheme="minorHAnsi"/>
          <w:lang w:eastAsia="en-US"/>
        </w:rPr>
        <w:t>, la cual excluía de dicho límite a todos aquellos imputados por delito de narcotráfico</w:t>
      </w:r>
      <w:r w:rsidRPr="00F0074A">
        <w:rPr>
          <w:rFonts w:eastAsiaTheme="minorHAnsi"/>
          <w:lang w:eastAsia="en-US"/>
        </w:rPr>
        <w:t>.</w:t>
      </w:r>
      <w:r w:rsidR="004968EC">
        <w:rPr>
          <w:rFonts w:eastAsiaTheme="minorHAnsi"/>
          <w:lang w:eastAsia="en-US"/>
        </w:rPr>
        <w:t xml:space="preserve"> Posteriormente analizará la motivación brindada por las autoridades nacionales para justificar el alargamiento de la prisión preventiva impuesta al señor Jenkins.</w:t>
      </w:r>
    </w:p>
    <w:p w14:paraId="7066720E" w14:textId="5DCCF0D3" w:rsidR="004968EC" w:rsidRPr="00875E1D" w:rsidRDefault="004968EC" w:rsidP="00875E1D">
      <w:pPr>
        <w:pStyle w:val="Ttulo4"/>
      </w:pPr>
      <w:r w:rsidRPr="004F183C">
        <w:tab/>
        <w:t>(i) Imposibilidad de aplicaci</w:t>
      </w:r>
      <w:r w:rsidRPr="00875E1D">
        <w:t xml:space="preserve">ón del límite máximo de prisión provisional </w:t>
      </w:r>
    </w:p>
    <w:p w14:paraId="1830F7A1" w14:textId="7157C17F" w:rsidR="009A773E" w:rsidRPr="00F0074A" w:rsidRDefault="009A773E" w:rsidP="009A773E">
      <w:pPr>
        <w:numPr>
          <w:ilvl w:val="0"/>
          <w:numId w:val="11"/>
        </w:numPr>
        <w:tabs>
          <w:tab w:val="left" w:pos="567"/>
          <w:tab w:val="num" w:pos="1569"/>
          <w:tab w:val="num" w:pos="12305"/>
        </w:tabs>
        <w:spacing w:line="240" w:lineRule="auto"/>
        <w:ind w:left="0" w:firstLine="0"/>
        <w:rPr>
          <w:rFonts w:eastAsia="Batang"/>
          <w:lang w:eastAsia="en-US"/>
        </w:rPr>
      </w:pPr>
      <w:r w:rsidRPr="00F0074A">
        <w:rPr>
          <w:rFonts w:eastAsia="Batang"/>
          <w:lang w:eastAsia="en-US"/>
        </w:rPr>
        <w:t>La Cor</w:t>
      </w:r>
      <w:r w:rsidR="00C2503C">
        <w:rPr>
          <w:rFonts w:eastAsia="Batang"/>
          <w:lang w:eastAsia="en-US"/>
        </w:rPr>
        <w:t>te observa que la referida Ley N</w:t>
      </w:r>
      <w:r w:rsidRPr="00F0074A">
        <w:rPr>
          <w:rFonts w:eastAsia="Batang"/>
          <w:lang w:eastAsia="en-US"/>
        </w:rPr>
        <w:t xml:space="preserve">o. 24.390 regulaba los plazos máximos de prisión preventiva y sus excepciones. Así, el </w:t>
      </w:r>
      <w:r w:rsidR="00560ED8">
        <w:rPr>
          <w:rFonts w:eastAsia="Batang"/>
          <w:lang w:eastAsia="en-US"/>
        </w:rPr>
        <w:t xml:space="preserve">primer </w:t>
      </w:r>
      <w:r w:rsidRPr="00F0074A">
        <w:rPr>
          <w:rFonts w:eastAsia="Batang"/>
          <w:lang w:eastAsia="en-US"/>
        </w:rPr>
        <w:t>artículo de la referida Ley establecía lo siguiente:</w:t>
      </w:r>
    </w:p>
    <w:p w14:paraId="2998A658" w14:textId="77777777" w:rsidR="009A773E" w:rsidRPr="00F0074A" w:rsidRDefault="009A773E" w:rsidP="009A773E">
      <w:pPr>
        <w:tabs>
          <w:tab w:val="left" w:pos="567"/>
          <w:tab w:val="num" w:pos="12305"/>
        </w:tabs>
        <w:spacing w:line="240" w:lineRule="auto"/>
        <w:rPr>
          <w:rFonts w:eastAsia="Batang"/>
          <w:lang w:eastAsia="en-US"/>
        </w:rPr>
      </w:pPr>
    </w:p>
    <w:p w14:paraId="6032430D" w14:textId="584ACD9E" w:rsidR="009A773E" w:rsidRPr="00F0074A" w:rsidRDefault="009A773E" w:rsidP="009A773E">
      <w:pPr>
        <w:tabs>
          <w:tab w:val="left" w:pos="1440"/>
        </w:tabs>
        <w:spacing w:line="240" w:lineRule="auto"/>
        <w:ind w:left="720" w:right="720"/>
        <w:rPr>
          <w:rFonts w:cs="Calibri"/>
          <w:sz w:val="18"/>
          <w:szCs w:val="18"/>
          <w:lang w:val="es-VE"/>
        </w:rPr>
      </w:pPr>
      <w:r w:rsidRPr="00F0074A">
        <w:rPr>
          <w:rFonts w:cs="Calibri"/>
          <w:sz w:val="18"/>
          <w:szCs w:val="18"/>
          <w:lang w:val="es-VE"/>
        </w:rPr>
        <w:t>Artículo 1 - La prisión preventiva no podrá ser superior a dos años. No obstante, cuando la cantidad de los delitos atribuidos al procesado o la evidente complejidad de las causas hayan impedido la finalización del proceso en el plazo indicado, ésta podrá prorrogarse un año más por resolución fundada que deberá comunicarse de inmediato al tribunal de apelación que correspondiese para su debido contralor</w:t>
      </w:r>
      <w:r w:rsidRPr="00F0074A">
        <w:rPr>
          <w:rStyle w:val="Refdenotaalpie"/>
          <w:rFonts w:cs="Calibri"/>
          <w:sz w:val="18"/>
          <w:szCs w:val="18"/>
          <w:lang w:val="es-VE"/>
        </w:rPr>
        <w:footnoteReference w:id="90"/>
      </w:r>
      <w:r w:rsidRPr="00F0074A">
        <w:rPr>
          <w:rFonts w:cs="Calibri"/>
          <w:sz w:val="18"/>
          <w:szCs w:val="18"/>
          <w:lang w:val="es-VE"/>
        </w:rPr>
        <w:t>.</w:t>
      </w:r>
    </w:p>
    <w:p w14:paraId="034335B3" w14:textId="77777777" w:rsidR="009A773E" w:rsidRPr="00F0074A" w:rsidRDefault="009A773E" w:rsidP="009A773E">
      <w:pPr>
        <w:tabs>
          <w:tab w:val="left" w:pos="567"/>
        </w:tabs>
        <w:spacing w:line="240" w:lineRule="auto"/>
        <w:rPr>
          <w:rFonts w:eastAsia="Batang"/>
          <w:lang w:eastAsia="en-US"/>
        </w:rPr>
      </w:pPr>
    </w:p>
    <w:p w14:paraId="446FBDB0" w14:textId="4FC86B4E" w:rsidR="009A773E" w:rsidRPr="00F0074A" w:rsidRDefault="009A773E" w:rsidP="009A773E">
      <w:pPr>
        <w:numPr>
          <w:ilvl w:val="0"/>
          <w:numId w:val="11"/>
        </w:numPr>
        <w:tabs>
          <w:tab w:val="left" w:pos="567"/>
          <w:tab w:val="num" w:pos="1569"/>
          <w:tab w:val="num" w:pos="12305"/>
        </w:tabs>
        <w:spacing w:line="240" w:lineRule="auto"/>
        <w:ind w:left="0" w:firstLine="0"/>
        <w:rPr>
          <w:rFonts w:eastAsia="Batang"/>
          <w:lang w:eastAsia="en-US"/>
        </w:rPr>
      </w:pPr>
      <w:r w:rsidRPr="00F0074A">
        <w:rPr>
          <w:rFonts w:eastAsia="Batang"/>
          <w:lang w:eastAsia="en-US"/>
        </w:rPr>
        <w:t xml:space="preserve">Por su parte, el artículo 10 de </w:t>
      </w:r>
      <w:r w:rsidR="00C2503C">
        <w:rPr>
          <w:rFonts w:eastAsia="Batang"/>
          <w:lang w:eastAsia="en-US"/>
        </w:rPr>
        <w:t>dicha</w:t>
      </w:r>
      <w:r w:rsidRPr="00F0074A">
        <w:rPr>
          <w:rFonts w:eastAsia="Batang"/>
          <w:lang w:eastAsia="en-US"/>
        </w:rPr>
        <w:t xml:space="preserve"> </w:t>
      </w:r>
      <w:r w:rsidR="00126E06">
        <w:rPr>
          <w:rFonts w:eastAsia="Batang"/>
          <w:lang w:eastAsia="en-US"/>
        </w:rPr>
        <w:t>l</w:t>
      </w:r>
      <w:r w:rsidRPr="00F0074A">
        <w:rPr>
          <w:rFonts w:eastAsia="Batang"/>
          <w:lang w:eastAsia="en-US"/>
        </w:rPr>
        <w:t>ey establecía una excepción a este límite máximo al indicar que éste no se aplicaba en aquellos casos en los que la persona estuviera imputada por un delito de narcotráfico:</w:t>
      </w:r>
    </w:p>
    <w:p w14:paraId="0DCCE27C" w14:textId="77777777" w:rsidR="009A773E" w:rsidRPr="00F0074A" w:rsidRDefault="009A773E" w:rsidP="009A773E">
      <w:pPr>
        <w:tabs>
          <w:tab w:val="left" w:pos="567"/>
        </w:tabs>
        <w:spacing w:line="240" w:lineRule="auto"/>
        <w:rPr>
          <w:rFonts w:eastAsia="Batang"/>
          <w:lang w:eastAsia="en-US"/>
        </w:rPr>
      </w:pPr>
    </w:p>
    <w:p w14:paraId="0819557D" w14:textId="140B114F" w:rsidR="009A773E" w:rsidRPr="00F0074A" w:rsidRDefault="009A773E" w:rsidP="009A773E">
      <w:pPr>
        <w:tabs>
          <w:tab w:val="left" w:pos="1440"/>
        </w:tabs>
        <w:spacing w:line="240" w:lineRule="auto"/>
        <w:ind w:left="720" w:right="720"/>
        <w:rPr>
          <w:rFonts w:cs="Calibri"/>
          <w:sz w:val="18"/>
          <w:szCs w:val="18"/>
          <w:lang w:val="es-VE"/>
        </w:rPr>
      </w:pPr>
      <w:r w:rsidRPr="00F0074A">
        <w:rPr>
          <w:rFonts w:cs="Calibri"/>
          <w:sz w:val="18"/>
          <w:szCs w:val="18"/>
          <w:lang w:val="es-VE"/>
        </w:rPr>
        <w:t>Quedan expresamente excluidos de los alcances de la presente ley los imputados por el delito previsto en el artículo 7 de la ley 23.737 y aquellos a quienes resultaren aplicables las agravantes previstas en el artículo 11 de la misma ley.</w:t>
      </w:r>
    </w:p>
    <w:p w14:paraId="4EF156DB" w14:textId="77777777" w:rsidR="009A773E" w:rsidRPr="00F0074A" w:rsidRDefault="009A773E" w:rsidP="009A773E">
      <w:pPr>
        <w:tabs>
          <w:tab w:val="left" w:pos="567"/>
        </w:tabs>
        <w:spacing w:line="240" w:lineRule="auto"/>
        <w:rPr>
          <w:rFonts w:eastAsiaTheme="minorHAnsi"/>
          <w:lang w:eastAsia="en-US"/>
        </w:rPr>
      </w:pPr>
    </w:p>
    <w:p w14:paraId="1B9DDD1D" w14:textId="39A17BD2" w:rsidR="00497330" w:rsidRPr="00F0074A" w:rsidRDefault="000F20CA" w:rsidP="00497330">
      <w:pPr>
        <w:numPr>
          <w:ilvl w:val="0"/>
          <w:numId w:val="11"/>
        </w:numPr>
        <w:tabs>
          <w:tab w:val="left" w:pos="567"/>
          <w:tab w:val="num" w:pos="1569"/>
          <w:tab w:val="num" w:pos="12305"/>
        </w:tabs>
        <w:spacing w:line="240" w:lineRule="auto"/>
        <w:ind w:left="0" w:firstLine="0"/>
        <w:rPr>
          <w:rFonts w:eastAsiaTheme="minorHAnsi"/>
          <w:lang w:eastAsia="en-US"/>
        </w:rPr>
      </w:pPr>
      <w:r w:rsidRPr="00F0074A">
        <w:rPr>
          <w:rFonts w:eastAsiaTheme="minorHAnsi"/>
          <w:lang w:eastAsia="en-US"/>
        </w:rPr>
        <w:t xml:space="preserve">La Corte </w:t>
      </w:r>
      <w:r w:rsidR="00183A69">
        <w:rPr>
          <w:rFonts w:eastAsiaTheme="minorHAnsi"/>
          <w:lang w:eastAsia="en-US"/>
        </w:rPr>
        <w:t>advierte</w:t>
      </w:r>
      <w:r w:rsidR="00183A69" w:rsidRPr="00F0074A">
        <w:rPr>
          <w:rFonts w:eastAsiaTheme="minorHAnsi"/>
          <w:lang w:eastAsia="en-US"/>
        </w:rPr>
        <w:t xml:space="preserve"> </w:t>
      </w:r>
      <w:r w:rsidRPr="00F0074A">
        <w:rPr>
          <w:rFonts w:eastAsiaTheme="minorHAnsi"/>
          <w:lang w:eastAsia="en-US"/>
        </w:rPr>
        <w:t xml:space="preserve">que, según lo señalado por </w:t>
      </w:r>
      <w:r w:rsidR="00560ED8">
        <w:rPr>
          <w:rFonts w:eastAsiaTheme="minorHAnsi"/>
          <w:lang w:eastAsia="en-US"/>
        </w:rPr>
        <w:t xml:space="preserve">el </w:t>
      </w:r>
      <w:r w:rsidRPr="00F0074A">
        <w:rPr>
          <w:rFonts w:eastAsiaTheme="minorHAnsi"/>
          <w:lang w:eastAsia="en-US"/>
        </w:rPr>
        <w:t>Tribunal Oral No.</w:t>
      </w:r>
      <w:r w:rsidR="00560ED8">
        <w:rPr>
          <w:rFonts w:eastAsiaTheme="minorHAnsi"/>
          <w:lang w:eastAsia="en-US"/>
        </w:rPr>
        <w:t xml:space="preserve"> </w:t>
      </w:r>
      <w:r w:rsidRPr="00F0074A">
        <w:rPr>
          <w:rFonts w:eastAsiaTheme="minorHAnsi"/>
          <w:lang w:eastAsia="en-US"/>
        </w:rPr>
        <w:t xml:space="preserve">6 </w:t>
      </w:r>
      <w:r w:rsidR="008D46B3">
        <w:rPr>
          <w:rFonts w:eastAsiaTheme="minorHAnsi"/>
          <w:lang w:eastAsia="en-US"/>
        </w:rPr>
        <w:t>que declaró</w:t>
      </w:r>
      <w:r w:rsidRPr="00F0074A">
        <w:rPr>
          <w:rFonts w:eastAsiaTheme="minorHAnsi"/>
          <w:lang w:eastAsia="en-US"/>
        </w:rPr>
        <w:t xml:space="preserve"> sin lugar el recurso de inconstitucionalidad interpuesto por el señor Jenkins, en el presente caso</w:t>
      </w:r>
      <w:r w:rsidR="006568C0" w:rsidRPr="00F0074A">
        <w:rPr>
          <w:rFonts w:eastAsiaTheme="minorHAnsi"/>
          <w:lang w:eastAsia="en-US"/>
        </w:rPr>
        <w:t>,</w:t>
      </w:r>
      <w:r w:rsidRPr="00F0074A">
        <w:rPr>
          <w:rFonts w:eastAsiaTheme="minorHAnsi"/>
          <w:lang w:eastAsia="en-US"/>
        </w:rPr>
        <w:t xml:space="preserve"> </w:t>
      </w:r>
      <w:r w:rsidR="0014742A" w:rsidRPr="00F0074A">
        <w:rPr>
          <w:rFonts w:eastAsiaTheme="minorHAnsi"/>
          <w:lang w:eastAsia="en-US"/>
        </w:rPr>
        <w:t xml:space="preserve">la excepción recogida en el artículo </w:t>
      </w:r>
      <w:r w:rsidR="00560ED8">
        <w:rPr>
          <w:rFonts w:eastAsiaTheme="minorHAnsi"/>
          <w:lang w:eastAsia="en-US"/>
        </w:rPr>
        <w:t>10 de la Ley N</w:t>
      </w:r>
      <w:r w:rsidR="0014742A" w:rsidRPr="00F0074A">
        <w:rPr>
          <w:rFonts w:eastAsiaTheme="minorHAnsi"/>
          <w:lang w:eastAsia="en-US"/>
        </w:rPr>
        <w:t xml:space="preserve">o. 24.390 al límite de la prisión preventiva estipulado en el artículo 1 de dicho </w:t>
      </w:r>
      <w:r w:rsidRPr="00F0074A">
        <w:rPr>
          <w:rFonts w:eastAsiaTheme="minorHAnsi"/>
          <w:lang w:eastAsia="en-US"/>
        </w:rPr>
        <w:t>instrumento</w:t>
      </w:r>
      <w:r w:rsidR="00497330" w:rsidRPr="00F0074A">
        <w:rPr>
          <w:rFonts w:eastAsiaTheme="minorHAnsi"/>
          <w:lang w:eastAsia="en-US"/>
        </w:rPr>
        <w:t xml:space="preserve"> resultaba justificada. En específico, dicha resolución indicó que esta excepción no era violatoria del artículo 7.5 de la Convención Americana puesto que “lo que la [C]onvención [Americana] exige es que toda persona sea juzgada o puesta en libertad dentro de un</w:t>
      </w:r>
      <w:r w:rsidR="001A3D54">
        <w:rPr>
          <w:rFonts w:eastAsiaTheme="minorHAnsi"/>
          <w:lang w:eastAsia="en-US"/>
        </w:rPr>
        <w:t xml:space="preserve"> </w:t>
      </w:r>
      <w:r w:rsidR="00497330" w:rsidRPr="00F0074A">
        <w:rPr>
          <w:rFonts w:eastAsiaTheme="minorHAnsi"/>
          <w:lang w:eastAsia="en-US"/>
        </w:rPr>
        <w:t>plazo razonable, pero no impide que cada estado adecue esos plazos según criterios de política criminal relacionados fundamentalmente con razones de interés público”</w:t>
      </w:r>
      <w:r w:rsidR="00497330" w:rsidRPr="00F0074A">
        <w:rPr>
          <w:rFonts w:eastAsiaTheme="minorHAnsi"/>
          <w:vertAlign w:val="superscript"/>
          <w:lang w:eastAsia="en-US"/>
        </w:rPr>
        <w:footnoteReference w:id="91"/>
      </w:r>
      <w:r w:rsidR="00497330" w:rsidRPr="00F0074A">
        <w:rPr>
          <w:rFonts w:eastAsiaTheme="minorHAnsi"/>
          <w:lang w:eastAsia="en-US"/>
        </w:rPr>
        <w:t xml:space="preserve">. Asimismo, se indicó que “no exis[tía] duda” que las razones de interés público que determinaron al legislador a excluir las conductas relacionadas con el narcotráfico habían surgido de “la necesidad de armonizar las disposiciones del derecho interno con los compromisos internacionales asumidos por el país al aprobar diversos tratados internacionales, entre los que corresponde destacar la Convención de las Naciones Unidas contra el tráfico ilícito de estupefacientes y sustancias </w:t>
      </w:r>
      <w:r w:rsidR="0096619A">
        <w:rPr>
          <w:rFonts w:eastAsiaTheme="minorHAnsi"/>
          <w:lang w:eastAsia="en-US"/>
        </w:rPr>
        <w:t>p</w:t>
      </w:r>
      <w:r w:rsidR="00497330" w:rsidRPr="00F0074A">
        <w:rPr>
          <w:rFonts w:eastAsiaTheme="minorHAnsi"/>
          <w:lang w:eastAsia="en-US"/>
        </w:rPr>
        <w:t>sicotrópicas”</w:t>
      </w:r>
      <w:r w:rsidR="00497330" w:rsidRPr="00F0074A">
        <w:rPr>
          <w:rFonts w:eastAsiaTheme="minorHAnsi"/>
          <w:vertAlign w:val="superscript"/>
          <w:lang w:eastAsia="en-US"/>
        </w:rPr>
        <w:t xml:space="preserve"> </w:t>
      </w:r>
      <w:r w:rsidR="00497330" w:rsidRPr="00F0074A">
        <w:rPr>
          <w:rFonts w:eastAsiaTheme="minorHAnsi"/>
          <w:vertAlign w:val="superscript"/>
          <w:lang w:eastAsia="en-US"/>
        </w:rPr>
        <w:footnoteReference w:id="92"/>
      </w:r>
      <w:r w:rsidR="00497330" w:rsidRPr="00F0074A">
        <w:rPr>
          <w:rFonts w:eastAsiaTheme="minorHAnsi"/>
          <w:lang w:eastAsia="en-US"/>
        </w:rPr>
        <w:t xml:space="preserve">. </w:t>
      </w:r>
    </w:p>
    <w:p w14:paraId="0DC513C8" w14:textId="77777777" w:rsidR="00183A69" w:rsidRPr="00875E1D" w:rsidRDefault="00183A69" w:rsidP="00875E1D">
      <w:pPr>
        <w:tabs>
          <w:tab w:val="left" w:pos="567"/>
        </w:tabs>
        <w:spacing w:line="240" w:lineRule="auto"/>
        <w:rPr>
          <w:rFonts w:eastAsiaTheme="minorHAnsi"/>
          <w:lang w:eastAsia="en-US"/>
        </w:rPr>
      </w:pPr>
    </w:p>
    <w:p w14:paraId="36E49CB7" w14:textId="77777777" w:rsidR="002B3FA1" w:rsidRPr="002B3FA1" w:rsidRDefault="002B3FA1" w:rsidP="002307A9">
      <w:pPr>
        <w:numPr>
          <w:ilvl w:val="0"/>
          <w:numId w:val="11"/>
        </w:numPr>
        <w:tabs>
          <w:tab w:val="left" w:pos="567"/>
          <w:tab w:val="num" w:pos="1569"/>
          <w:tab w:val="num" w:pos="12305"/>
        </w:tabs>
        <w:spacing w:line="240" w:lineRule="auto"/>
        <w:ind w:left="0" w:firstLine="0"/>
        <w:rPr>
          <w:i/>
        </w:rPr>
      </w:pPr>
      <w:r>
        <w:rPr>
          <w:lang w:val="es-ES"/>
        </w:rPr>
        <w:t xml:space="preserve">La Corte observa que la </w:t>
      </w:r>
      <w:r w:rsidR="002307A9" w:rsidRPr="00875E1D">
        <w:rPr>
          <w:lang w:val="es-ES"/>
        </w:rPr>
        <w:t xml:space="preserve">exclusión </w:t>
      </w:r>
      <w:r>
        <w:rPr>
          <w:lang w:val="es-ES"/>
        </w:rPr>
        <w:t xml:space="preserve">del beneficio del límite máximo de prisión preventiva que establecía la referida Ley No. 24.390 </w:t>
      </w:r>
      <w:r w:rsidR="002307A9" w:rsidRPr="00875E1D">
        <w:rPr>
          <w:lang w:val="es-ES"/>
        </w:rPr>
        <w:t xml:space="preserve">generó un trato </w:t>
      </w:r>
      <w:r w:rsidR="007523D7" w:rsidRPr="00875E1D">
        <w:rPr>
          <w:lang w:val="es-ES"/>
        </w:rPr>
        <w:t>desigual</w:t>
      </w:r>
      <w:r w:rsidR="002307A9" w:rsidRPr="00875E1D">
        <w:rPr>
          <w:lang w:val="es-ES"/>
        </w:rPr>
        <w:t xml:space="preserve"> con respecto a las personas en prisión preventiva imputadas por un delito diferente al de narcotráfico, quienes, una vez cumplido el plazo de dos años</w:t>
      </w:r>
      <w:r w:rsidR="00537440">
        <w:rPr>
          <w:lang w:val="es-ES"/>
        </w:rPr>
        <w:t xml:space="preserve"> estipulado en la señalada Ley </w:t>
      </w:r>
      <w:r w:rsidR="002307A9" w:rsidRPr="00875E1D">
        <w:rPr>
          <w:lang w:val="es-ES"/>
        </w:rPr>
        <w:t xml:space="preserve">tenían derecho a solicitar su excarcelación. Estas personas también se beneficiaban del plazo máximo de detención preventiva, el cual no podía ser superior a tres años, tal y como así lo estipulaba el citado artículo 1, lo cual implicaba su excarcelación automática, en todo caso, una vez superados los tres años de prisión preventiva. </w:t>
      </w:r>
    </w:p>
    <w:p w14:paraId="3C32E067" w14:textId="77777777" w:rsidR="002B3FA1" w:rsidRPr="002B3FA1" w:rsidRDefault="002B3FA1" w:rsidP="002B3FA1">
      <w:pPr>
        <w:tabs>
          <w:tab w:val="left" w:pos="567"/>
        </w:tabs>
        <w:spacing w:line="240" w:lineRule="auto"/>
        <w:rPr>
          <w:i/>
        </w:rPr>
      </w:pPr>
    </w:p>
    <w:p w14:paraId="769ED2D0" w14:textId="31DA0FDC" w:rsidR="008F2941" w:rsidRPr="002B3FA1" w:rsidRDefault="007523D7" w:rsidP="003836DE">
      <w:pPr>
        <w:numPr>
          <w:ilvl w:val="0"/>
          <w:numId w:val="11"/>
        </w:numPr>
        <w:tabs>
          <w:tab w:val="left" w:pos="567"/>
          <w:tab w:val="num" w:pos="1569"/>
          <w:tab w:val="num" w:pos="12305"/>
        </w:tabs>
        <w:spacing w:line="240" w:lineRule="auto"/>
        <w:ind w:left="0" w:firstLine="0"/>
        <w:rPr>
          <w:i/>
        </w:rPr>
      </w:pPr>
      <w:r>
        <w:t>A este respecto, e</w:t>
      </w:r>
      <w:r w:rsidR="00E45960" w:rsidRPr="00F61549">
        <w:t xml:space="preserve">l Tribunal ha establecido que los Estados deben abstenerse de realizar acciones que de cualquier manera vayan dirigidas, directa o indirectamente, a crear situaciones de discriminación </w:t>
      </w:r>
      <w:r w:rsidR="00E45960" w:rsidRPr="002B3FA1">
        <w:rPr>
          <w:i/>
        </w:rPr>
        <w:t>de jure</w:t>
      </w:r>
      <w:r w:rsidR="00E45960" w:rsidRPr="00F61549">
        <w:t xml:space="preserve"> o </w:t>
      </w:r>
      <w:r w:rsidR="00E45960" w:rsidRPr="002B3FA1">
        <w:rPr>
          <w:i/>
        </w:rPr>
        <w:t>de facto</w:t>
      </w:r>
      <w:r w:rsidR="00E45960" w:rsidRPr="00F61549">
        <w:rPr>
          <w:rStyle w:val="Refdenotaalpie"/>
        </w:rPr>
        <w:footnoteReference w:id="93"/>
      </w:r>
      <w:r w:rsidR="00E45960" w:rsidRPr="00F61549">
        <w:t xml:space="preserve">. </w:t>
      </w:r>
      <w:r w:rsidR="00327DC6">
        <w:t>Asimismo, e</w:t>
      </w:r>
      <w:r>
        <w:t>n caso de que el trato discriminatorio</w:t>
      </w:r>
      <w:r w:rsidR="002307A9" w:rsidRPr="00F61549">
        <w:rPr>
          <w:lang w:eastAsia="es-ES"/>
        </w:rPr>
        <w:t xml:space="preserve"> se refier</w:t>
      </w:r>
      <w:r>
        <w:rPr>
          <w:lang w:eastAsia="es-ES"/>
        </w:rPr>
        <w:t>a</w:t>
      </w:r>
      <w:r w:rsidR="002307A9" w:rsidRPr="00F61549">
        <w:rPr>
          <w:lang w:eastAsia="es-ES"/>
        </w:rPr>
        <w:t xml:space="preserve"> a una protección desigual de la ley interna o su aplicación, el hecho debe analizarse a la luz del artículo 24 de la Convención Americana</w:t>
      </w:r>
      <w:bookmarkStart w:id="74" w:name="_Ref318128267"/>
      <w:r w:rsidR="002307A9" w:rsidRPr="00F61549">
        <w:rPr>
          <w:rStyle w:val="Refdenotaalpie"/>
          <w:lang w:eastAsia="es-ES"/>
        </w:rPr>
        <w:footnoteReference w:id="94"/>
      </w:r>
      <w:bookmarkEnd w:id="74"/>
      <w:r w:rsidR="002307A9">
        <w:rPr>
          <w:lang w:eastAsia="es-ES"/>
        </w:rPr>
        <w:t xml:space="preserve"> en relación con las categorías protegidas por el artículo 1.1 de la Convención.</w:t>
      </w:r>
      <w:r w:rsidR="002B3FA1">
        <w:rPr>
          <w:lang w:eastAsia="es-ES"/>
        </w:rPr>
        <w:t xml:space="preserve"> </w:t>
      </w:r>
      <w:r w:rsidR="00327DC6">
        <w:rPr>
          <w:lang w:eastAsia="es-ES"/>
        </w:rPr>
        <w:t>La</w:t>
      </w:r>
      <w:r w:rsidR="00E45960" w:rsidRPr="00834898">
        <w:t xml:space="preserve"> Corte </w:t>
      </w:r>
      <w:r>
        <w:t>recuerda</w:t>
      </w:r>
      <w:r w:rsidR="00E45960" w:rsidRPr="00834898">
        <w:t xml:space="preserve"> que </w:t>
      </w:r>
      <w:r w:rsidR="00E45960" w:rsidRPr="002B3FA1">
        <w:rPr>
          <w:rFonts w:eastAsia="Calibri" w:cs="Arial"/>
          <w:spacing w:val="-2"/>
        </w:rPr>
        <w:t xml:space="preserve">una diferencia de trato es discriminatoria cuando la misma no </w:t>
      </w:r>
      <w:r w:rsidR="00E45960" w:rsidRPr="002B3FA1">
        <w:rPr>
          <w:spacing w:val="-2"/>
        </w:rPr>
        <w:t>tiene</w:t>
      </w:r>
      <w:r w:rsidR="00E45960" w:rsidRPr="002B3FA1">
        <w:rPr>
          <w:rFonts w:eastAsia="Calibri" w:cs="Arial"/>
          <w:spacing w:val="-2"/>
        </w:rPr>
        <w:t xml:space="preserve"> una </w:t>
      </w:r>
      <w:r w:rsidR="00E45960" w:rsidRPr="002B3FA1">
        <w:rPr>
          <w:rFonts w:eastAsia="Calibri"/>
          <w:spacing w:val="-2"/>
        </w:rPr>
        <w:t>justificación</w:t>
      </w:r>
      <w:r w:rsidR="00E45960" w:rsidRPr="002B3FA1">
        <w:rPr>
          <w:rFonts w:eastAsia="Calibri" w:cs="Arial"/>
          <w:spacing w:val="-2"/>
        </w:rPr>
        <w:t xml:space="preserve"> objetiva y razonable</w:t>
      </w:r>
      <w:r w:rsidR="00E45960" w:rsidRPr="00282490">
        <w:rPr>
          <w:rFonts w:eastAsia="Calibri" w:cs="Arial"/>
          <w:spacing w:val="-2"/>
          <w:vertAlign w:val="superscript"/>
        </w:rPr>
        <w:footnoteReference w:id="95"/>
      </w:r>
      <w:r w:rsidR="00E45960" w:rsidRPr="002B3FA1">
        <w:rPr>
          <w:rFonts w:eastAsia="Calibri" w:cs="Arial"/>
          <w:spacing w:val="-2"/>
        </w:rPr>
        <w:t>, es decir, cuando no persigue un fin legítimo y no existe una relación razonable de proporcionalidad entre los medios utilizados y el fin perseguido</w:t>
      </w:r>
      <w:r w:rsidR="00E45960" w:rsidRPr="00282490">
        <w:rPr>
          <w:rFonts w:eastAsia="Calibri" w:cs="Arial"/>
          <w:spacing w:val="-2"/>
          <w:vertAlign w:val="superscript"/>
        </w:rPr>
        <w:footnoteReference w:id="96"/>
      </w:r>
      <w:r w:rsidR="00E45960" w:rsidRPr="002B3FA1">
        <w:rPr>
          <w:rFonts w:eastAsia="Calibri" w:cs="Arial"/>
          <w:spacing w:val="-2"/>
        </w:rPr>
        <w:t>.</w:t>
      </w:r>
      <w:r w:rsidR="008F2941" w:rsidRPr="00A45F4C">
        <w:t xml:space="preserve"> </w:t>
      </w:r>
    </w:p>
    <w:p w14:paraId="460A68CD" w14:textId="465B7E90" w:rsidR="008F2941" w:rsidRPr="00875E1D" w:rsidRDefault="00327DC6" w:rsidP="00327DC6">
      <w:pPr>
        <w:tabs>
          <w:tab w:val="left" w:pos="2610"/>
        </w:tabs>
        <w:spacing w:line="240" w:lineRule="auto"/>
        <w:rPr>
          <w:i/>
        </w:rPr>
      </w:pPr>
      <w:r>
        <w:rPr>
          <w:i/>
        </w:rPr>
        <w:tab/>
      </w:r>
    </w:p>
    <w:p w14:paraId="18636867" w14:textId="4CE470DA" w:rsidR="00E45960" w:rsidRPr="007523D7" w:rsidRDefault="00E45960" w:rsidP="00127CF0">
      <w:pPr>
        <w:numPr>
          <w:ilvl w:val="0"/>
          <w:numId w:val="11"/>
        </w:numPr>
        <w:tabs>
          <w:tab w:val="left" w:pos="567"/>
          <w:tab w:val="num" w:pos="1569"/>
          <w:tab w:val="num" w:pos="12305"/>
        </w:tabs>
        <w:spacing w:line="240" w:lineRule="auto"/>
        <w:ind w:left="0" w:firstLine="0"/>
        <w:rPr>
          <w:i/>
        </w:rPr>
      </w:pPr>
      <w:r w:rsidRPr="007523D7">
        <w:rPr>
          <w:rFonts w:cs="Arial"/>
        </w:rPr>
        <w:t xml:space="preserve">En el presente caso la Corte </w:t>
      </w:r>
      <w:r w:rsidR="00F63340">
        <w:rPr>
          <w:rFonts w:cs="Arial"/>
        </w:rPr>
        <w:t>advierte</w:t>
      </w:r>
      <w:r w:rsidRPr="007523D7">
        <w:rPr>
          <w:rFonts w:cs="Arial"/>
        </w:rPr>
        <w:t xml:space="preserve"> que la exclusión del beneficio de tiempo máximo de prisión preventiva para todas aquellas personas imputadas por narcotráfico se justificaba por </w:t>
      </w:r>
      <w:r w:rsidRPr="007523D7">
        <w:rPr>
          <w:rFonts w:eastAsiaTheme="minorHAnsi"/>
          <w:lang w:eastAsia="en-US"/>
        </w:rPr>
        <w:t>el interés en perseguir a esa clase de organizaciones criminales, -y a sus integrantes-, dedicadas al tráfico de sustancias estupefacientes, así como por las obligaciones contraídas por el Estado al suscribir la Convención de las Naciones Unidas contra el Tráfico Ilícito de Estupefacientes y sustancias sicotrópicas.</w:t>
      </w:r>
      <w:r w:rsidR="009349C1">
        <w:rPr>
          <w:rFonts w:eastAsiaTheme="minorHAnsi"/>
          <w:lang w:eastAsia="en-US"/>
        </w:rPr>
        <w:t xml:space="preserve"> L</w:t>
      </w:r>
      <w:r w:rsidR="00327DC6">
        <w:rPr>
          <w:rFonts w:eastAsiaTheme="minorHAnsi"/>
          <w:lang w:eastAsia="en-US"/>
        </w:rPr>
        <w:t>a Corte observa</w:t>
      </w:r>
      <w:r w:rsidR="009349C1">
        <w:rPr>
          <w:rFonts w:eastAsiaTheme="minorHAnsi"/>
          <w:lang w:eastAsia="en-US"/>
        </w:rPr>
        <w:t>, no obstante,</w:t>
      </w:r>
      <w:r w:rsidR="00327DC6">
        <w:rPr>
          <w:rFonts w:eastAsiaTheme="minorHAnsi"/>
          <w:lang w:eastAsia="en-US"/>
        </w:rPr>
        <w:t xml:space="preserve"> </w:t>
      </w:r>
      <w:r w:rsidR="008A1387">
        <w:rPr>
          <w:rFonts w:eastAsiaTheme="minorHAnsi"/>
          <w:lang w:eastAsia="en-US"/>
        </w:rPr>
        <w:t xml:space="preserve">que el señor Jenkins fue excluido de manera automática </w:t>
      </w:r>
      <w:r w:rsidR="00347225" w:rsidRPr="007523D7">
        <w:rPr>
          <w:rFonts w:eastAsiaTheme="minorHAnsi"/>
          <w:lang w:eastAsia="en-US"/>
        </w:rPr>
        <w:t>del beneficio de la excarcelación únicamente sobre la base del delito espec</w:t>
      </w:r>
      <w:r w:rsidR="007523D7" w:rsidRPr="007523D7">
        <w:rPr>
          <w:rFonts w:eastAsiaTheme="minorHAnsi"/>
          <w:lang w:eastAsia="en-US"/>
        </w:rPr>
        <w:t>ífico que se le imputaba</w:t>
      </w:r>
      <w:r w:rsidR="007523D7">
        <w:rPr>
          <w:rFonts w:eastAsiaTheme="minorHAnsi"/>
          <w:lang w:eastAsia="en-US"/>
        </w:rPr>
        <w:t xml:space="preserve">, </w:t>
      </w:r>
      <w:r w:rsidR="00327DC6">
        <w:rPr>
          <w:rFonts w:eastAsiaTheme="minorHAnsi"/>
          <w:lang w:eastAsia="en-US"/>
        </w:rPr>
        <w:t xml:space="preserve">sin </w:t>
      </w:r>
      <w:r w:rsidR="000337A7">
        <w:rPr>
          <w:rFonts w:eastAsiaTheme="minorHAnsi"/>
          <w:lang w:eastAsia="en-US"/>
        </w:rPr>
        <w:t>que se brindara</w:t>
      </w:r>
      <w:r w:rsidR="00327DC6">
        <w:rPr>
          <w:rFonts w:eastAsiaTheme="minorHAnsi"/>
          <w:lang w:eastAsia="en-US"/>
        </w:rPr>
        <w:t xml:space="preserve"> </w:t>
      </w:r>
      <w:r w:rsidR="00327DC6" w:rsidRPr="00A45F4C">
        <w:t xml:space="preserve">una explicación </w:t>
      </w:r>
      <w:r w:rsidR="00327DC6">
        <w:t>sobre la</w:t>
      </w:r>
      <w:r w:rsidR="00327DC6" w:rsidRPr="00A45F4C">
        <w:t xml:space="preserve"> finalidad </w:t>
      </w:r>
      <w:r w:rsidR="000337A7">
        <w:t xml:space="preserve">específica </w:t>
      </w:r>
      <w:r w:rsidR="00327DC6">
        <w:t>que buscaba</w:t>
      </w:r>
      <w:r w:rsidR="00327DC6" w:rsidRPr="00A45F4C">
        <w:t xml:space="preserve"> la diferencia de trato</w:t>
      </w:r>
      <w:r w:rsidR="00327DC6">
        <w:t>, su idoneidad, necesidad, proporcionalidad</w:t>
      </w:r>
      <w:r w:rsidR="00327DC6">
        <w:rPr>
          <w:rFonts w:eastAsiaTheme="minorHAnsi"/>
          <w:lang w:eastAsia="en-US"/>
        </w:rPr>
        <w:t xml:space="preserve"> y, además, </w:t>
      </w:r>
      <w:r w:rsidR="007523D7">
        <w:rPr>
          <w:rFonts w:eastAsiaTheme="minorHAnsi"/>
          <w:lang w:eastAsia="en-US"/>
        </w:rPr>
        <w:t xml:space="preserve">sin tener en cuenta </w:t>
      </w:r>
      <w:r w:rsidR="008A1387">
        <w:rPr>
          <w:rFonts w:eastAsiaTheme="minorHAnsi"/>
          <w:lang w:eastAsia="en-US"/>
        </w:rPr>
        <w:t>sus</w:t>
      </w:r>
      <w:r w:rsidR="007523D7">
        <w:rPr>
          <w:rFonts w:eastAsiaTheme="minorHAnsi"/>
          <w:lang w:eastAsia="en-US"/>
        </w:rPr>
        <w:t xml:space="preserve"> circunstancias personales</w:t>
      </w:r>
      <w:r w:rsidR="001B6BB6">
        <w:rPr>
          <w:rStyle w:val="Refdenotaalpie"/>
        </w:rPr>
        <w:footnoteReference w:id="97"/>
      </w:r>
      <w:r w:rsidR="001B6BB6" w:rsidRPr="00A45F4C">
        <w:t xml:space="preserve">. </w:t>
      </w:r>
    </w:p>
    <w:p w14:paraId="38A8E86C" w14:textId="77777777" w:rsidR="002307A9" w:rsidRPr="002307A9" w:rsidRDefault="002307A9" w:rsidP="002307A9">
      <w:pPr>
        <w:tabs>
          <w:tab w:val="left" w:pos="567"/>
        </w:tabs>
        <w:spacing w:line="240" w:lineRule="auto"/>
        <w:rPr>
          <w:rFonts w:eastAsiaTheme="minorHAnsi"/>
          <w:lang w:eastAsia="en-US"/>
        </w:rPr>
      </w:pPr>
    </w:p>
    <w:p w14:paraId="42E94922" w14:textId="25B3888D" w:rsidR="007523D7" w:rsidRDefault="00407D53" w:rsidP="004E7EAA">
      <w:pPr>
        <w:numPr>
          <w:ilvl w:val="0"/>
          <w:numId w:val="11"/>
        </w:numPr>
        <w:tabs>
          <w:tab w:val="left" w:pos="567"/>
          <w:tab w:val="num" w:pos="1569"/>
          <w:tab w:val="num" w:pos="12305"/>
        </w:tabs>
        <w:spacing w:line="240" w:lineRule="auto"/>
        <w:ind w:left="0" w:firstLine="0"/>
        <w:rPr>
          <w:rFonts w:eastAsiaTheme="minorHAnsi"/>
          <w:lang w:eastAsia="en-US"/>
        </w:rPr>
      </w:pPr>
      <w:r w:rsidRPr="00F0074A">
        <w:rPr>
          <w:rFonts w:eastAsiaTheme="minorHAnsi"/>
          <w:lang w:eastAsia="en-US"/>
        </w:rPr>
        <w:t>En este sentido, r</w:t>
      </w:r>
      <w:r w:rsidR="0014742A" w:rsidRPr="00F0074A">
        <w:rPr>
          <w:rFonts w:eastAsiaTheme="minorHAnsi"/>
          <w:lang w:eastAsia="en-US"/>
        </w:rPr>
        <w:t>esulta</w:t>
      </w:r>
      <w:r w:rsidR="0014742A" w:rsidRPr="00F0074A">
        <w:t xml:space="preserve"> </w:t>
      </w:r>
      <w:r w:rsidR="0014742A" w:rsidRPr="00F0074A">
        <w:rPr>
          <w:rFonts w:eastAsia="Batang"/>
          <w:lang w:eastAsia="en-US"/>
        </w:rPr>
        <w:t>pertinente</w:t>
      </w:r>
      <w:r w:rsidR="0014742A" w:rsidRPr="00F0074A">
        <w:t xml:space="preserve"> remarcar que la propia jurisprudencia de la Corte Suprema de Justicia de Argentina, en su sentencia de 15 de junio de 2010 dictada en la causa no. 5640 declaró la inconstitucionalidad del </w:t>
      </w:r>
      <w:r w:rsidR="0014742A" w:rsidRPr="00F0074A">
        <w:rPr>
          <w:rFonts w:eastAsiaTheme="minorHAnsi"/>
          <w:lang w:eastAsia="en-US"/>
        </w:rPr>
        <w:t>referido</w:t>
      </w:r>
      <w:r w:rsidR="0014742A" w:rsidRPr="00F0074A">
        <w:t xml:space="preserve"> artículo 10 de la Ley </w:t>
      </w:r>
      <w:r w:rsidR="00537440">
        <w:rPr>
          <w:rFonts w:eastAsiaTheme="minorHAnsi"/>
          <w:lang w:eastAsia="en-US"/>
        </w:rPr>
        <w:t>N</w:t>
      </w:r>
      <w:r w:rsidR="0014742A" w:rsidRPr="00F0074A">
        <w:rPr>
          <w:rFonts w:eastAsiaTheme="minorHAnsi"/>
          <w:lang w:eastAsia="en-US"/>
        </w:rPr>
        <w:t>o. 24.390</w:t>
      </w:r>
      <w:r w:rsidRPr="00F0074A">
        <w:rPr>
          <w:rFonts w:eastAsiaTheme="minorHAnsi"/>
          <w:lang w:eastAsia="en-US"/>
        </w:rPr>
        <w:t>,</w:t>
      </w:r>
      <w:r w:rsidR="0014742A" w:rsidRPr="00F0074A">
        <w:rPr>
          <w:rFonts w:eastAsiaTheme="minorHAnsi"/>
          <w:lang w:eastAsia="en-US"/>
        </w:rPr>
        <w:t xml:space="preserve"> </w:t>
      </w:r>
      <w:r w:rsidR="007523D7">
        <w:rPr>
          <w:rFonts w:eastAsiaTheme="minorHAnsi"/>
          <w:lang w:eastAsia="en-US"/>
        </w:rPr>
        <w:t>debido a que:</w:t>
      </w:r>
      <w:r w:rsidR="0014742A" w:rsidRPr="00F0074A">
        <w:rPr>
          <w:rFonts w:eastAsiaTheme="minorHAnsi"/>
          <w:lang w:eastAsia="en-US"/>
        </w:rPr>
        <w:t xml:space="preserve"> </w:t>
      </w:r>
    </w:p>
    <w:p w14:paraId="0AA76549" w14:textId="77777777" w:rsidR="007523D7" w:rsidRDefault="007523D7" w:rsidP="007523D7">
      <w:pPr>
        <w:tabs>
          <w:tab w:val="left" w:pos="567"/>
        </w:tabs>
        <w:spacing w:line="240" w:lineRule="auto"/>
        <w:rPr>
          <w:rFonts w:eastAsiaTheme="minorHAnsi"/>
          <w:lang w:eastAsia="en-US"/>
        </w:rPr>
      </w:pPr>
    </w:p>
    <w:p w14:paraId="52E56361" w14:textId="39A67670" w:rsidR="007523D7" w:rsidRPr="000A0DA8" w:rsidRDefault="00537440" w:rsidP="007523D7">
      <w:pPr>
        <w:widowControl/>
        <w:tabs>
          <w:tab w:val="left" w:pos="567"/>
        </w:tabs>
        <w:autoSpaceDE w:val="0"/>
        <w:autoSpaceDN w:val="0"/>
        <w:adjustRightInd/>
        <w:spacing w:line="240" w:lineRule="auto"/>
        <w:ind w:left="720" w:right="720"/>
        <w:textAlignment w:val="auto"/>
        <w:rPr>
          <w:rFonts w:eastAsia="Calibri"/>
          <w:sz w:val="18"/>
          <w:szCs w:val="18"/>
        </w:rPr>
      </w:pPr>
      <w:r>
        <w:rPr>
          <w:rFonts w:eastAsia="Calibri"/>
          <w:sz w:val="18"/>
          <w:szCs w:val="18"/>
        </w:rPr>
        <w:t xml:space="preserve">[…] </w:t>
      </w:r>
      <w:r w:rsidR="007523D7" w:rsidRPr="000A0DA8">
        <w:rPr>
          <w:rFonts w:eastAsia="Calibri"/>
          <w:sz w:val="18"/>
          <w:szCs w:val="18"/>
        </w:rPr>
        <w:t>[L]a asunción por parte de nuestro país de compromisos internacionales en materia de lucha contra el tráfico ilícito de estupefacientes y sustancias sicotrópicas no puede erigirse en fundament</w:t>
      </w:r>
      <w:r w:rsidR="00A905B0">
        <w:rPr>
          <w:rFonts w:eastAsia="Calibri"/>
          <w:sz w:val="18"/>
          <w:szCs w:val="18"/>
        </w:rPr>
        <w:t>o</w:t>
      </w:r>
      <w:r w:rsidR="007523D7" w:rsidRPr="000A0DA8">
        <w:rPr>
          <w:rFonts w:eastAsia="Calibri"/>
          <w:sz w:val="18"/>
          <w:szCs w:val="18"/>
        </w:rPr>
        <w:t xml:space="preserve"> suficiente a efectos de tornar inoperantes derechos de raigambre constitucional tales como la presunción de inocencia, la libertad personal y el plazo razonable de duración del proceso. […] </w:t>
      </w:r>
      <w:r w:rsidR="007523D7" w:rsidRPr="000A0DA8">
        <w:rPr>
          <w:rFonts w:cs="TTE2C93658t00"/>
          <w:color w:val="010101"/>
          <w:sz w:val="18"/>
          <w:szCs w:val="18"/>
        </w:rPr>
        <w:t>[L]a decisión del legislador ordinario de privar a determinada categoría de personas de los beneficios previstos en la ley 24.390 no sólo implica la afectación del derecho que ellas tienen a que se presuma su inocencia, sino que además, importa la afectación de la garantía que la Convención Americana sobre Derechos Humanos también les confiere en su art. 7.5 […] [R]esulta violatoria del principio de igualdad una excepción que despoja a una parte de la población carcelaria de un derecho fundamental por la sola naturaleza del delito imputado en su contra y, por ende, lesiona intrínsecamente a todos los miembros de dicha categoría de inculpados</w:t>
      </w:r>
      <w:r w:rsidR="007523D7" w:rsidRPr="000A0DA8">
        <w:rPr>
          <w:rStyle w:val="Refdenotaalpie"/>
          <w:rFonts w:cs="TTE2C93658t00"/>
          <w:color w:val="010101"/>
          <w:sz w:val="18"/>
          <w:szCs w:val="18"/>
        </w:rPr>
        <w:footnoteReference w:id="98"/>
      </w:r>
      <w:r w:rsidR="007523D7" w:rsidRPr="000A0DA8">
        <w:rPr>
          <w:rFonts w:cs="TTE2C93658t00"/>
          <w:color w:val="010101"/>
          <w:sz w:val="18"/>
          <w:szCs w:val="18"/>
        </w:rPr>
        <w:t xml:space="preserve">. </w:t>
      </w:r>
    </w:p>
    <w:p w14:paraId="4522737A" w14:textId="77777777" w:rsidR="007523D7" w:rsidRDefault="007523D7" w:rsidP="007523D7">
      <w:pPr>
        <w:tabs>
          <w:tab w:val="left" w:pos="567"/>
        </w:tabs>
        <w:spacing w:line="240" w:lineRule="auto"/>
        <w:rPr>
          <w:rFonts w:eastAsiaTheme="minorHAnsi"/>
          <w:lang w:eastAsia="en-US"/>
        </w:rPr>
      </w:pPr>
    </w:p>
    <w:p w14:paraId="55B4F718" w14:textId="4CF8BEC8" w:rsidR="008A6BDD" w:rsidRPr="004F183C" w:rsidRDefault="00EA750C" w:rsidP="00875E1D">
      <w:pPr>
        <w:numPr>
          <w:ilvl w:val="0"/>
          <w:numId w:val="11"/>
        </w:numPr>
        <w:tabs>
          <w:tab w:val="left" w:pos="567"/>
          <w:tab w:val="num" w:pos="1569"/>
          <w:tab w:val="num" w:pos="12305"/>
        </w:tabs>
        <w:spacing w:line="240" w:lineRule="auto"/>
        <w:ind w:left="0" w:firstLine="0"/>
        <w:rPr>
          <w:rFonts w:eastAsiaTheme="minorHAnsi"/>
          <w:lang w:val="es-ES_tradnl" w:eastAsia="en-US"/>
        </w:rPr>
      </w:pPr>
      <w:r w:rsidRPr="00F0074A">
        <w:rPr>
          <w:rFonts w:eastAsiaTheme="minorHAnsi"/>
          <w:lang w:eastAsia="en-US"/>
        </w:rPr>
        <w:t>La Corte coincide con lo señalado por la Corte Suprema de Justicia de Argentina y considera que el criterio por el cual se excluyó al señor Jenkins del beneficio de los plazos máximos de prisión preventiva implicó que se superara el límite establecido en la legislación nacional para la prisión preventiva de manera irrazonable</w:t>
      </w:r>
      <w:r w:rsidR="007523D7">
        <w:rPr>
          <w:rFonts w:eastAsiaTheme="minorHAnsi"/>
          <w:lang w:eastAsia="en-US"/>
        </w:rPr>
        <w:t xml:space="preserve">, lo cual además constituyó un trato desigual frente a otras personas en situación </w:t>
      </w:r>
      <w:r w:rsidR="008A1387">
        <w:rPr>
          <w:rFonts w:eastAsiaTheme="minorHAnsi"/>
          <w:lang w:eastAsia="en-US"/>
        </w:rPr>
        <w:t>similar</w:t>
      </w:r>
      <w:r w:rsidR="007523D7">
        <w:rPr>
          <w:rFonts w:eastAsiaTheme="minorHAnsi"/>
          <w:lang w:eastAsia="en-US"/>
        </w:rPr>
        <w:t xml:space="preserve"> que sí podían acceder a dicho beneficio.</w:t>
      </w:r>
      <w:r w:rsidR="009A773E" w:rsidRPr="00F0074A">
        <w:rPr>
          <w:rFonts w:eastAsiaTheme="minorHAnsi"/>
          <w:lang w:eastAsia="en-US"/>
        </w:rPr>
        <w:t xml:space="preserve"> </w:t>
      </w:r>
    </w:p>
    <w:p w14:paraId="1A784384" w14:textId="3928E877" w:rsidR="004968EC" w:rsidRPr="00875E1D" w:rsidRDefault="004968EC" w:rsidP="004F183C">
      <w:pPr>
        <w:pStyle w:val="Ttulo4"/>
      </w:pPr>
      <w:r w:rsidRPr="00875E1D">
        <w:tab/>
        <w:t xml:space="preserve">(ii) </w:t>
      </w:r>
      <w:r w:rsidR="008F2941" w:rsidRPr="00875E1D">
        <w:t>Justificación de</w:t>
      </w:r>
      <w:r w:rsidR="004917B4">
        <w:t xml:space="preserve"> </w:t>
      </w:r>
      <w:r w:rsidR="008F2941" w:rsidRPr="00875E1D">
        <w:t>l</w:t>
      </w:r>
      <w:r w:rsidR="004917B4">
        <w:t xml:space="preserve">a prórroga </w:t>
      </w:r>
      <w:r w:rsidRPr="00875E1D">
        <w:t>de la prisión provisional</w:t>
      </w:r>
    </w:p>
    <w:p w14:paraId="12C2D2BB" w14:textId="5538E1DC" w:rsidR="00554EE6" w:rsidRPr="00F0074A" w:rsidRDefault="00183A69" w:rsidP="00554EE6">
      <w:pPr>
        <w:widowControl/>
        <w:numPr>
          <w:ilvl w:val="0"/>
          <w:numId w:val="11"/>
        </w:numPr>
        <w:tabs>
          <w:tab w:val="left" w:pos="567"/>
          <w:tab w:val="num" w:pos="1569"/>
          <w:tab w:val="num" w:pos="12305"/>
        </w:tabs>
        <w:autoSpaceDE w:val="0"/>
        <w:autoSpaceDN w:val="0"/>
        <w:adjustRightInd/>
        <w:spacing w:line="240" w:lineRule="auto"/>
        <w:ind w:left="0" w:right="-90" w:firstLine="0"/>
        <w:textAlignment w:val="auto"/>
        <w:rPr>
          <w:rFonts w:eastAsiaTheme="minorHAnsi"/>
          <w:lang w:eastAsia="en-US"/>
        </w:rPr>
      </w:pPr>
      <w:r>
        <w:t>Adicionalmente, l</w:t>
      </w:r>
      <w:r w:rsidR="009A773E" w:rsidRPr="00F0074A">
        <w:t xml:space="preserve">a </w:t>
      </w:r>
      <w:r w:rsidR="00554EE6" w:rsidRPr="00F0074A">
        <w:t xml:space="preserve">Corte observa que </w:t>
      </w:r>
      <w:r w:rsidR="009A773E" w:rsidRPr="00F0074A">
        <w:t xml:space="preserve">en el presente caso la solicitud de excarcelación interpuesta por el señor Jenkins fue rechazada, no sólo por la denegación de la aplicación de los límites estipulados en el artículo 10 de la Ley </w:t>
      </w:r>
      <w:r w:rsidR="00537440">
        <w:rPr>
          <w:rFonts w:eastAsiaTheme="minorHAnsi"/>
          <w:lang w:eastAsia="en-US"/>
        </w:rPr>
        <w:t>N</w:t>
      </w:r>
      <w:r w:rsidR="009A773E" w:rsidRPr="00F0074A">
        <w:rPr>
          <w:rFonts w:eastAsiaTheme="minorHAnsi"/>
          <w:lang w:eastAsia="en-US"/>
        </w:rPr>
        <w:t>o. 24.390</w:t>
      </w:r>
      <w:r w:rsidR="009A773E" w:rsidRPr="00F0074A">
        <w:t xml:space="preserve">, sino </w:t>
      </w:r>
      <w:r w:rsidR="009A773E" w:rsidRPr="00F0074A">
        <w:rPr>
          <w:rFonts w:eastAsiaTheme="minorHAnsi"/>
          <w:lang w:eastAsia="en-US"/>
        </w:rPr>
        <w:t>que</w:t>
      </w:r>
      <w:r w:rsidR="003754B6">
        <w:rPr>
          <w:rFonts w:eastAsiaTheme="minorHAnsi"/>
          <w:lang w:eastAsia="en-US"/>
        </w:rPr>
        <w:t xml:space="preserve"> </w:t>
      </w:r>
      <w:r>
        <w:rPr>
          <w:rFonts w:eastAsiaTheme="minorHAnsi"/>
          <w:lang w:eastAsia="en-US"/>
        </w:rPr>
        <w:t xml:space="preserve">los tribunales nacionales analizaron nuevamente la pertinencia o no de la prisión provisional. Así, la Corte nota que </w:t>
      </w:r>
      <w:r w:rsidR="003754B6">
        <w:rPr>
          <w:rFonts w:eastAsiaTheme="minorHAnsi"/>
          <w:lang w:eastAsia="en-US"/>
        </w:rPr>
        <w:t>la</w:t>
      </w:r>
      <w:r w:rsidR="009A773E" w:rsidRPr="00F0074A">
        <w:rPr>
          <w:rFonts w:eastAsiaTheme="minorHAnsi"/>
          <w:lang w:eastAsia="en-US"/>
        </w:rPr>
        <w:t xml:space="preserve"> resolución dictada por el Tribunal Oral en lo Criminal Federal No. 6 </w:t>
      </w:r>
      <w:r>
        <w:rPr>
          <w:rFonts w:eastAsiaTheme="minorHAnsi"/>
          <w:lang w:eastAsia="en-US"/>
        </w:rPr>
        <w:t>que declar</w:t>
      </w:r>
      <w:r w:rsidR="000337A7">
        <w:rPr>
          <w:rFonts w:eastAsiaTheme="minorHAnsi"/>
          <w:lang w:eastAsia="en-US"/>
        </w:rPr>
        <w:t>ó</w:t>
      </w:r>
      <w:r>
        <w:rPr>
          <w:rFonts w:eastAsiaTheme="minorHAnsi"/>
          <w:lang w:eastAsia="en-US"/>
        </w:rPr>
        <w:t xml:space="preserve"> sin lugar el recurso de inconstitucionalidad interpuesto por el señor Jenkins, además de rechazar tal petición, </w:t>
      </w:r>
      <w:r w:rsidR="009A773E" w:rsidRPr="00F0074A">
        <w:rPr>
          <w:rFonts w:eastAsiaTheme="minorHAnsi"/>
          <w:lang w:eastAsia="en-US"/>
        </w:rPr>
        <w:t xml:space="preserve">entró a analizar las razones por las cuales no debía ser acordada la excarcelación del señor Jenkins, </w:t>
      </w:r>
      <w:r>
        <w:rPr>
          <w:rFonts w:eastAsiaTheme="minorHAnsi"/>
          <w:lang w:eastAsia="en-US"/>
        </w:rPr>
        <w:t>razonando</w:t>
      </w:r>
      <w:r w:rsidRPr="00F0074A">
        <w:rPr>
          <w:rFonts w:eastAsiaTheme="minorHAnsi"/>
          <w:lang w:eastAsia="en-US"/>
        </w:rPr>
        <w:t xml:space="preserve"> </w:t>
      </w:r>
      <w:r w:rsidR="00CA0621" w:rsidRPr="00F0074A">
        <w:rPr>
          <w:rFonts w:eastAsiaTheme="minorHAnsi"/>
          <w:lang w:eastAsia="en-US"/>
        </w:rPr>
        <w:t>lo siguiente:</w:t>
      </w:r>
    </w:p>
    <w:p w14:paraId="571B171D" w14:textId="77777777" w:rsidR="00CA0621" w:rsidRPr="00F0074A" w:rsidRDefault="00CA0621" w:rsidP="00CA0621">
      <w:pPr>
        <w:widowControl/>
        <w:tabs>
          <w:tab w:val="left" w:pos="567"/>
        </w:tabs>
        <w:autoSpaceDE w:val="0"/>
        <w:autoSpaceDN w:val="0"/>
        <w:adjustRightInd/>
        <w:spacing w:line="240" w:lineRule="auto"/>
        <w:ind w:right="-90"/>
        <w:textAlignment w:val="auto"/>
        <w:rPr>
          <w:rFonts w:eastAsiaTheme="minorHAnsi"/>
          <w:lang w:eastAsia="en-US"/>
        </w:rPr>
      </w:pPr>
    </w:p>
    <w:p w14:paraId="4552A2CE" w14:textId="021C9912" w:rsidR="00CA0621" w:rsidRPr="00F0074A" w:rsidRDefault="00537440" w:rsidP="00CA0621">
      <w:pPr>
        <w:pStyle w:val="Prrafodelista"/>
        <w:widowControl/>
        <w:autoSpaceDE w:val="0"/>
        <w:autoSpaceDN w:val="0"/>
        <w:spacing w:line="240" w:lineRule="auto"/>
        <w:ind w:left="825" w:right="720"/>
        <w:textAlignment w:val="auto"/>
        <w:rPr>
          <w:sz w:val="18"/>
          <w:szCs w:val="18"/>
        </w:rPr>
      </w:pPr>
      <w:r>
        <w:rPr>
          <w:rFonts w:eastAsiaTheme="minorHAnsi"/>
          <w:color w:val="2A2A2A"/>
          <w:sz w:val="18"/>
          <w:szCs w:val="18"/>
          <w:lang w:eastAsia="en-US"/>
        </w:rPr>
        <w:t xml:space="preserve">[…] </w:t>
      </w:r>
      <w:r w:rsidR="00CA0621" w:rsidRPr="00F0074A">
        <w:rPr>
          <w:rFonts w:eastAsiaTheme="minorHAnsi"/>
          <w:color w:val="2A2A2A"/>
          <w:sz w:val="18"/>
          <w:szCs w:val="18"/>
          <w:lang w:eastAsia="en-US"/>
        </w:rPr>
        <w:t xml:space="preserve">[S]e </w:t>
      </w:r>
      <w:r w:rsidR="00CA0621" w:rsidRPr="00F0074A">
        <w:rPr>
          <w:rFonts w:eastAsiaTheme="minorHAnsi"/>
          <w:color w:val="161616"/>
          <w:sz w:val="18"/>
          <w:szCs w:val="18"/>
          <w:lang w:eastAsia="en-US"/>
        </w:rPr>
        <w:t>le</w:t>
      </w:r>
      <w:r w:rsidR="00CA0621" w:rsidRPr="00F0074A">
        <w:rPr>
          <w:rFonts w:eastAsiaTheme="minorHAnsi"/>
          <w:color w:val="424242"/>
          <w:sz w:val="18"/>
          <w:szCs w:val="18"/>
          <w:lang w:eastAsia="en-US"/>
        </w:rPr>
        <w:t xml:space="preserve"> </w:t>
      </w:r>
      <w:r w:rsidR="00CA0621" w:rsidRPr="00F0074A">
        <w:rPr>
          <w:rFonts w:eastAsiaTheme="minorHAnsi"/>
          <w:color w:val="2A2A2A"/>
          <w:sz w:val="18"/>
          <w:szCs w:val="18"/>
          <w:lang w:eastAsia="en-US"/>
        </w:rPr>
        <w:t xml:space="preserve">adjudica en el requerimiento de elevación a </w:t>
      </w:r>
      <w:r w:rsidR="00CA0621" w:rsidRPr="00F0074A">
        <w:rPr>
          <w:rFonts w:eastAsiaTheme="minorHAnsi"/>
          <w:color w:val="161616"/>
          <w:sz w:val="18"/>
          <w:szCs w:val="18"/>
          <w:lang w:eastAsia="en-US"/>
        </w:rPr>
        <w:t>juici</w:t>
      </w:r>
      <w:r w:rsidR="00CA0621" w:rsidRPr="00F0074A">
        <w:rPr>
          <w:rFonts w:eastAsiaTheme="minorHAnsi"/>
          <w:color w:val="424242"/>
          <w:sz w:val="18"/>
          <w:szCs w:val="18"/>
          <w:lang w:eastAsia="en-US"/>
        </w:rPr>
        <w:t xml:space="preserve">o </w:t>
      </w:r>
      <w:r w:rsidR="00CA0621" w:rsidRPr="00F0074A">
        <w:rPr>
          <w:rFonts w:eastAsiaTheme="minorHAnsi"/>
          <w:color w:val="2A2A2A"/>
          <w:sz w:val="18"/>
          <w:szCs w:val="18"/>
          <w:lang w:eastAsia="en-US"/>
        </w:rPr>
        <w:t>pertinen</w:t>
      </w:r>
      <w:r w:rsidR="00CA0621" w:rsidRPr="00F0074A">
        <w:rPr>
          <w:rFonts w:eastAsiaTheme="minorHAnsi"/>
          <w:color w:val="161616"/>
          <w:sz w:val="18"/>
          <w:szCs w:val="18"/>
          <w:lang w:eastAsia="en-US"/>
        </w:rPr>
        <w:t xml:space="preserve">te, la </w:t>
      </w:r>
      <w:r w:rsidR="00CA0621" w:rsidRPr="00F0074A">
        <w:rPr>
          <w:rFonts w:eastAsiaTheme="minorHAnsi"/>
          <w:color w:val="2A2A2A"/>
          <w:sz w:val="18"/>
          <w:szCs w:val="18"/>
          <w:lang w:eastAsia="en-US"/>
        </w:rPr>
        <w:t xml:space="preserve">calidad </w:t>
      </w:r>
      <w:r w:rsidR="00CA0621" w:rsidRPr="00F0074A">
        <w:rPr>
          <w:rFonts w:eastAsiaTheme="minorHAnsi"/>
          <w:color w:val="161616"/>
          <w:sz w:val="18"/>
          <w:szCs w:val="18"/>
          <w:lang w:eastAsia="en-US"/>
        </w:rPr>
        <w:t xml:space="preserve">de coautor </w:t>
      </w:r>
      <w:r w:rsidR="00CA0621" w:rsidRPr="00F0074A">
        <w:rPr>
          <w:rFonts w:eastAsiaTheme="minorHAnsi"/>
          <w:color w:val="2A2A2A"/>
          <w:sz w:val="18"/>
          <w:szCs w:val="18"/>
          <w:lang w:eastAsia="en-US"/>
        </w:rPr>
        <w:t xml:space="preserve">de </w:t>
      </w:r>
      <w:r w:rsidR="00CA0621" w:rsidRPr="00F0074A">
        <w:rPr>
          <w:rFonts w:eastAsiaTheme="minorHAnsi"/>
          <w:color w:val="161616"/>
          <w:sz w:val="18"/>
          <w:szCs w:val="18"/>
          <w:lang w:eastAsia="en-US"/>
        </w:rPr>
        <w:t xml:space="preserve">los </w:t>
      </w:r>
      <w:r w:rsidR="00CA0621" w:rsidRPr="00F0074A">
        <w:rPr>
          <w:rFonts w:eastAsiaTheme="minorHAnsi"/>
          <w:color w:val="2A2A2A"/>
          <w:sz w:val="18"/>
          <w:szCs w:val="18"/>
          <w:lang w:eastAsia="en-US"/>
        </w:rPr>
        <w:t>delitos de tráfico ilícito</w:t>
      </w:r>
      <w:r w:rsidR="00CA0621" w:rsidRPr="00F0074A">
        <w:rPr>
          <w:rFonts w:eastAsiaTheme="minorHAnsi"/>
          <w:color w:val="535353"/>
          <w:sz w:val="18"/>
          <w:szCs w:val="18"/>
          <w:lang w:eastAsia="en-US"/>
        </w:rPr>
        <w:t xml:space="preserve"> de e</w:t>
      </w:r>
      <w:r w:rsidR="00CA0621" w:rsidRPr="00F0074A">
        <w:rPr>
          <w:rFonts w:eastAsiaTheme="minorHAnsi"/>
          <w:color w:val="2A2A2A"/>
          <w:sz w:val="18"/>
          <w:szCs w:val="18"/>
          <w:lang w:eastAsia="en-US"/>
        </w:rPr>
        <w:t>stupefa</w:t>
      </w:r>
      <w:r w:rsidR="00CA0621" w:rsidRPr="00F0074A">
        <w:rPr>
          <w:rFonts w:eastAsiaTheme="minorHAnsi"/>
          <w:color w:val="161616"/>
          <w:sz w:val="18"/>
          <w:szCs w:val="18"/>
          <w:lang w:eastAsia="en-US"/>
        </w:rPr>
        <w:t xml:space="preserve">cientes, </w:t>
      </w:r>
      <w:r w:rsidR="00CA0621" w:rsidRPr="00F0074A">
        <w:rPr>
          <w:rFonts w:eastAsiaTheme="minorHAnsi"/>
          <w:color w:val="2A2A2A"/>
          <w:sz w:val="18"/>
          <w:szCs w:val="18"/>
          <w:lang w:eastAsia="en-US"/>
        </w:rPr>
        <w:t xml:space="preserve">en su modalidad de transporte, agravado por </w:t>
      </w:r>
      <w:r w:rsidR="00CA0621" w:rsidRPr="00F0074A">
        <w:rPr>
          <w:rFonts w:eastAsiaTheme="minorHAnsi"/>
          <w:color w:val="161616"/>
          <w:sz w:val="18"/>
          <w:szCs w:val="18"/>
          <w:lang w:eastAsia="en-US"/>
        </w:rPr>
        <w:t xml:space="preserve">la intervención </w:t>
      </w:r>
      <w:r w:rsidR="00CA0621" w:rsidRPr="00F0074A">
        <w:rPr>
          <w:rFonts w:eastAsiaTheme="minorHAnsi"/>
          <w:color w:val="2A2A2A"/>
          <w:sz w:val="18"/>
          <w:szCs w:val="18"/>
          <w:lang w:eastAsia="en-US"/>
        </w:rPr>
        <w:t xml:space="preserve">de </w:t>
      </w:r>
      <w:r w:rsidR="00CA0621" w:rsidRPr="00F0074A">
        <w:rPr>
          <w:rFonts w:eastAsiaTheme="minorHAnsi"/>
          <w:color w:val="161616"/>
          <w:sz w:val="18"/>
          <w:szCs w:val="18"/>
          <w:lang w:eastAsia="en-US"/>
        </w:rPr>
        <w:t xml:space="preserve">más </w:t>
      </w:r>
      <w:r w:rsidR="00CA0621" w:rsidRPr="00F0074A">
        <w:rPr>
          <w:rFonts w:eastAsiaTheme="minorHAnsi"/>
          <w:color w:val="2A2A2A"/>
          <w:sz w:val="18"/>
          <w:szCs w:val="18"/>
          <w:lang w:eastAsia="en-US"/>
        </w:rPr>
        <w:t xml:space="preserve">de tres personas […] y asociación </w:t>
      </w:r>
      <w:r w:rsidR="00CA0621" w:rsidRPr="00F0074A">
        <w:rPr>
          <w:rFonts w:eastAsiaTheme="minorHAnsi"/>
          <w:color w:val="161616"/>
          <w:sz w:val="18"/>
          <w:szCs w:val="18"/>
          <w:lang w:eastAsia="en-US"/>
        </w:rPr>
        <w:t>ilí</w:t>
      </w:r>
      <w:r w:rsidR="00CA0621" w:rsidRPr="00F0074A">
        <w:rPr>
          <w:rFonts w:eastAsiaTheme="minorHAnsi"/>
          <w:color w:val="424242"/>
          <w:sz w:val="18"/>
          <w:szCs w:val="18"/>
          <w:lang w:eastAsia="en-US"/>
        </w:rPr>
        <w:t xml:space="preserve">cita </w:t>
      </w:r>
      <w:r w:rsidR="00CA0621" w:rsidRPr="00F0074A">
        <w:rPr>
          <w:rFonts w:eastAsiaTheme="minorHAnsi"/>
          <w:color w:val="161616"/>
          <w:sz w:val="18"/>
          <w:szCs w:val="18"/>
          <w:lang w:eastAsia="en-US"/>
        </w:rPr>
        <w:t xml:space="preserve">[…] </w:t>
      </w:r>
      <w:r w:rsidR="00CA0621" w:rsidRPr="00F0074A">
        <w:rPr>
          <w:rFonts w:eastAsiaTheme="minorHAnsi"/>
          <w:color w:val="2A2A2A"/>
          <w:sz w:val="18"/>
          <w:szCs w:val="18"/>
          <w:lang w:eastAsia="en-US"/>
        </w:rPr>
        <w:t xml:space="preserve">en concurso real. </w:t>
      </w:r>
      <w:r w:rsidR="00CA0621" w:rsidRPr="00F0074A">
        <w:rPr>
          <w:rFonts w:eastAsiaTheme="minorHAnsi"/>
          <w:color w:val="161616"/>
          <w:sz w:val="18"/>
          <w:szCs w:val="18"/>
          <w:lang w:eastAsia="en-US"/>
        </w:rPr>
        <w:t xml:space="preserve">Habida </w:t>
      </w:r>
      <w:r w:rsidR="00CA0621" w:rsidRPr="00F0074A">
        <w:rPr>
          <w:rFonts w:eastAsiaTheme="minorHAnsi"/>
          <w:color w:val="2A2A2A"/>
          <w:sz w:val="18"/>
          <w:szCs w:val="18"/>
          <w:lang w:eastAsia="en-US"/>
        </w:rPr>
        <w:t xml:space="preserve">cuenta de </w:t>
      </w:r>
      <w:r w:rsidR="00CA0621" w:rsidRPr="00F0074A">
        <w:rPr>
          <w:rFonts w:eastAsiaTheme="minorHAnsi"/>
          <w:color w:val="161616"/>
          <w:sz w:val="18"/>
          <w:szCs w:val="18"/>
          <w:lang w:eastAsia="en-US"/>
        </w:rPr>
        <w:t xml:space="preserve">la </w:t>
      </w:r>
      <w:r w:rsidR="00CA0621" w:rsidRPr="00F0074A">
        <w:rPr>
          <w:rFonts w:eastAsiaTheme="minorHAnsi"/>
          <w:color w:val="2A2A2A"/>
          <w:sz w:val="18"/>
          <w:szCs w:val="18"/>
          <w:lang w:eastAsia="en-US"/>
        </w:rPr>
        <w:t xml:space="preserve">penalidad </w:t>
      </w:r>
      <w:r w:rsidR="00CA0621" w:rsidRPr="00F0074A">
        <w:rPr>
          <w:rFonts w:eastAsiaTheme="minorHAnsi"/>
          <w:color w:val="161616"/>
          <w:sz w:val="18"/>
          <w:szCs w:val="18"/>
          <w:lang w:eastAsia="en-US"/>
        </w:rPr>
        <w:t xml:space="preserve">fijada </w:t>
      </w:r>
      <w:r w:rsidR="00CA0621" w:rsidRPr="00F0074A">
        <w:rPr>
          <w:rFonts w:eastAsiaTheme="minorHAnsi"/>
          <w:color w:val="2A2A2A"/>
          <w:sz w:val="18"/>
          <w:szCs w:val="18"/>
          <w:lang w:eastAsia="en-US"/>
        </w:rPr>
        <w:t xml:space="preserve">para dichas figuras en nuestro ordenamiento sustantivo </w:t>
      </w:r>
      <w:r w:rsidR="00CA0621" w:rsidRPr="00F0074A">
        <w:rPr>
          <w:rFonts w:eastAsiaTheme="minorHAnsi" w:cs="Arial"/>
          <w:color w:val="2A2A2A"/>
          <w:sz w:val="18"/>
          <w:szCs w:val="18"/>
          <w:lang w:eastAsia="en-US"/>
        </w:rPr>
        <w:t>y no</w:t>
      </w:r>
      <w:r w:rsidR="00CA0621" w:rsidRPr="00F0074A">
        <w:rPr>
          <w:rFonts w:eastAsiaTheme="minorHAnsi" w:cs="Arial"/>
          <w:color w:val="535353"/>
          <w:sz w:val="18"/>
          <w:szCs w:val="18"/>
          <w:lang w:eastAsia="en-US"/>
        </w:rPr>
        <w:t xml:space="preserve"> </w:t>
      </w:r>
      <w:r w:rsidR="00CA0621" w:rsidRPr="00F0074A">
        <w:rPr>
          <w:rFonts w:eastAsiaTheme="minorHAnsi"/>
          <w:color w:val="2A2A2A"/>
          <w:sz w:val="18"/>
          <w:szCs w:val="18"/>
          <w:lang w:eastAsia="en-US"/>
        </w:rPr>
        <w:t xml:space="preserve">dándose ninguno de </w:t>
      </w:r>
      <w:r w:rsidR="00CA0621" w:rsidRPr="00F0074A">
        <w:rPr>
          <w:rFonts w:eastAsiaTheme="minorHAnsi"/>
          <w:color w:val="161616"/>
          <w:sz w:val="18"/>
          <w:szCs w:val="18"/>
          <w:lang w:eastAsia="en-US"/>
        </w:rPr>
        <w:t>l</w:t>
      </w:r>
      <w:r w:rsidR="00CA0621" w:rsidRPr="00F0074A">
        <w:rPr>
          <w:rFonts w:eastAsiaTheme="minorHAnsi"/>
          <w:color w:val="424242"/>
          <w:sz w:val="18"/>
          <w:szCs w:val="18"/>
          <w:lang w:eastAsia="en-US"/>
        </w:rPr>
        <w:t xml:space="preserve">os </w:t>
      </w:r>
      <w:r w:rsidR="00CA0621" w:rsidRPr="00F0074A">
        <w:rPr>
          <w:rFonts w:eastAsiaTheme="minorHAnsi"/>
          <w:color w:val="2A2A2A"/>
          <w:sz w:val="18"/>
          <w:szCs w:val="18"/>
          <w:lang w:eastAsia="en-US"/>
        </w:rPr>
        <w:t xml:space="preserve">supuestos contemplado por el artículo 317 del Código </w:t>
      </w:r>
      <w:r w:rsidR="00CA0621" w:rsidRPr="00F0074A">
        <w:rPr>
          <w:rFonts w:eastAsiaTheme="minorHAnsi"/>
          <w:color w:val="161616"/>
          <w:sz w:val="18"/>
          <w:szCs w:val="18"/>
          <w:lang w:eastAsia="en-US"/>
        </w:rPr>
        <w:t xml:space="preserve">Procesal </w:t>
      </w:r>
      <w:r w:rsidR="00CA0621" w:rsidRPr="00F0074A">
        <w:rPr>
          <w:rFonts w:eastAsiaTheme="minorHAnsi"/>
          <w:color w:val="2A2A2A"/>
          <w:sz w:val="18"/>
          <w:szCs w:val="18"/>
          <w:lang w:eastAsia="en-US"/>
        </w:rPr>
        <w:t xml:space="preserve">Penal de </w:t>
      </w:r>
      <w:r w:rsidR="00CA0621" w:rsidRPr="00F0074A">
        <w:rPr>
          <w:rFonts w:eastAsiaTheme="minorHAnsi"/>
          <w:color w:val="161616"/>
          <w:sz w:val="18"/>
          <w:szCs w:val="18"/>
          <w:lang w:eastAsia="en-US"/>
        </w:rPr>
        <w:t xml:space="preserve">la </w:t>
      </w:r>
      <w:r w:rsidR="00CA0621" w:rsidRPr="00F0074A">
        <w:rPr>
          <w:rFonts w:eastAsiaTheme="minorHAnsi"/>
          <w:color w:val="2A2A2A"/>
          <w:sz w:val="18"/>
          <w:szCs w:val="18"/>
          <w:lang w:eastAsia="en-US"/>
        </w:rPr>
        <w:t xml:space="preserve">Nación, es que no </w:t>
      </w:r>
      <w:r w:rsidR="00CA0621" w:rsidRPr="00F0074A">
        <w:rPr>
          <w:rFonts w:eastAsiaTheme="minorHAnsi"/>
          <w:color w:val="161616"/>
          <w:sz w:val="18"/>
          <w:szCs w:val="18"/>
          <w:lang w:eastAsia="en-US"/>
        </w:rPr>
        <w:t xml:space="preserve">ha </w:t>
      </w:r>
      <w:r w:rsidR="00CA0621" w:rsidRPr="00F0074A">
        <w:rPr>
          <w:rFonts w:eastAsiaTheme="minorHAnsi"/>
          <w:color w:val="2A2A2A"/>
          <w:sz w:val="18"/>
          <w:szCs w:val="18"/>
          <w:lang w:eastAsia="en-US"/>
        </w:rPr>
        <w:t xml:space="preserve">de hacerse lugar el </w:t>
      </w:r>
      <w:r w:rsidR="00CA0621" w:rsidRPr="00F0074A">
        <w:rPr>
          <w:rFonts w:eastAsiaTheme="minorHAnsi"/>
          <w:color w:val="161616"/>
          <w:sz w:val="18"/>
          <w:szCs w:val="18"/>
          <w:lang w:eastAsia="en-US"/>
        </w:rPr>
        <w:t xml:space="preserve">beneficio </w:t>
      </w:r>
      <w:r w:rsidR="00CA0621" w:rsidRPr="00F0074A">
        <w:rPr>
          <w:rFonts w:eastAsiaTheme="minorHAnsi"/>
          <w:color w:val="2A2A2A"/>
          <w:sz w:val="18"/>
          <w:szCs w:val="18"/>
          <w:lang w:eastAsia="en-US"/>
        </w:rPr>
        <w:t>solicitado</w:t>
      </w:r>
      <w:r w:rsidR="00CA0621" w:rsidRPr="00F0074A">
        <w:rPr>
          <w:rStyle w:val="Refdenotaalpie"/>
          <w:rFonts w:eastAsiaTheme="minorHAnsi"/>
          <w:color w:val="2A2A2A"/>
          <w:sz w:val="18"/>
          <w:szCs w:val="18"/>
          <w:lang w:eastAsia="en-US"/>
        </w:rPr>
        <w:footnoteReference w:id="99"/>
      </w:r>
      <w:r w:rsidR="00CA0621" w:rsidRPr="00F0074A">
        <w:rPr>
          <w:rFonts w:eastAsiaTheme="minorHAnsi"/>
          <w:color w:val="2A2A2A"/>
          <w:sz w:val="18"/>
          <w:szCs w:val="18"/>
          <w:lang w:eastAsia="en-US"/>
        </w:rPr>
        <w:t>.</w:t>
      </w:r>
      <w:r w:rsidR="00CA0621" w:rsidRPr="00F0074A">
        <w:rPr>
          <w:rFonts w:eastAsiaTheme="minorHAnsi"/>
          <w:sz w:val="18"/>
          <w:szCs w:val="18"/>
          <w:lang w:eastAsia="en-US"/>
        </w:rPr>
        <w:t xml:space="preserve"> </w:t>
      </w:r>
    </w:p>
    <w:p w14:paraId="0E3C8890" w14:textId="77777777" w:rsidR="00CA0621" w:rsidRPr="00F0074A" w:rsidRDefault="00CA0621" w:rsidP="00CA0621">
      <w:pPr>
        <w:pStyle w:val="Prrafodelista"/>
        <w:widowControl/>
        <w:tabs>
          <w:tab w:val="left" w:pos="567"/>
        </w:tabs>
        <w:autoSpaceDE w:val="0"/>
        <w:autoSpaceDN w:val="0"/>
        <w:adjustRightInd/>
        <w:spacing w:line="240" w:lineRule="auto"/>
        <w:ind w:left="825" w:right="-90"/>
        <w:textAlignment w:val="auto"/>
      </w:pPr>
    </w:p>
    <w:p w14:paraId="434FB9FB" w14:textId="7B561347" w:rsidR="00554EE6" w:rsidRPr="0058253F" w:rsidRDefault="00CA0621" w:rsidP="00554EE6">
      <w:pPr>
        <w:widowControl/>
        <w:numPr>
          <w:ilvl w:val="0"/>
          <w:numId w:val="11"/>
        </w:numPr>
        <w:tabs>
          <w:tab w:val="left" w:pos="567"/>
          <w:tab w:val="num" w:pos="1569"/>
          <w:tab w:val="num" w:pos="12305"/>
        </w:tabs>
        <w:autoSpaceDE w:val="0"/>
        <w:autoSpaceDN w:val="0"/>
        <w:adjustRightInd/>
        <w:spacing w:line="240" w:lineRule="auto"/>
        <w:ind w:left="0" w:right="-90" w:firstLine="0"/>
        <w:textAlignment w:val="auto"/>
      </w:pPr>
      <w:r w:rsidRPr="00F0074A">
        <w:rPr>
          <w:rFonts w:eastAsiaTheme="minorHAnsi"/>
          <w:lang w:eastAsia="en-US"/>
        </w:rPr>
        <w:t xml:space="preserve">La Corte observa </w:t>
      </w:r>
      <w:r w:rsidR="00554EE6" w:rsidRPr="00F0074A">
        <w:rPr>
          <w:rFonts w:eastAsiaTheme="minorHAnsi"/>
          <w:lang w:eastAsia="en-US"/>
        </w:rPr>
        <w:t>que</w:t>
      </w:r>
      <w:r w:rsidRPr="00F0074A">
        <w:rPr>
          <w:rFonts w:eastAsiaTheme="minorHAnsi"/>
          <w:lang w:eastAsia="en-US"/>
        </w:rPr>
        <w:t>, tanto</w:t>
      </w:r>
      <w:r w:rsidR="00554EE6" w:rsidRPr="00F0074A">
        <w:rPr>
          <w:rFonts w:eastAsiaTheme="minorHAnsi"/>
          <w:lang w:eastAsia="en-US"/>
        </w:rPr>
        <w:t xml:space="preserve"> el Tribunal Oral en lo Criminal Federal No. 6 como los tribunales de instancias superiores que ratificaron dicha decisión</w:t>
      </w:r>
      <w:r w:rsidR="009A773E" w:rsidRPr="00F0074A">
        <w:rPr>
          <w:rFonts w:eastAsiaTheme="minorHAnsi"/>
          <w:lang w:eastAsia="en-US"/>
        </w:rPr>
        <w:t xml:space="preserve"> </w:t>
      </w:r>
      <w:r w:rsidR="00554EE6" w:rsidRPr="00F0074A">
        <w:rPr>
          <w:rFonts w:eastAsiaTheme="minorHAnsi"/>
          <w:lang w:eastAsia="en-US"/>
        </w:rPr>
        <w:t xml:space="preserve">se </w:t>
      </w:r>
      <w:r w:rsidR="009A773E" w:rsidRPr="00F0074A">
        <w:rPr>
          <w:rFonts w:eastAsiaTheme="minorHAnsi"/>
          <w:lang w:eastAsia="en-US"/>
        </w:rPr>
        <w:t>limit</w:t>
      </w:r>
      <w:r w:rsidRPr="00F0074A">
        <w:rPr>
          <w:rFonts w:eastAsiaTheme="minorHAnsi"/>
          <w:lang w:eastAsia="en-US"/>
        </w:rPr>
        <w:t>aron</w:t>
      </w:r>
      <w:r w:rsidR="00554EE6" w:rsidRPr="00F0074A">
        <w:rPr>
          <w:rFonts w:eastAsiaTheme="minorHAnsi"/>
          <w:lang w:eastAsia="en-US"/>
        </w:rPr>
        <w:t xml:space="preserve"> a rechazar la solicitud de inconstitucionalidad interpuesta por el señor Jenkins sin reevaluar </w:t>
      </w:r>
      <w:r w:rsidR="0058253F">
        <w:rPr>
          <w:rFonts w:eastAsiaTheme="minorHAnsi"/>
          <w:lang w:eastAsia="en-US"/>
        </w:rPr>
        <w:t>su</w:t>
      </w:r>
      <w:r w:rsidR="00554EE6" w:rsidRPr="00F0074A">
        <w:rPr>
          <w:rFonts w:eastAsiaTheme="minorHAnsi"/>
          <w:lang w:eastAsia="en-US"/>
        </w:rPr>
        <w:t xml:space="preserve"> situación una vez transcurridos varios años desde su ingreso en prisión y, sobre todo, </w:t>
      </w:r>
      <w:r w:rsidR="0058253F">
        <w:rPr>
          <w:rFonts w:eastAsiaTheme="minorHAnsi"/>
          <w:lang w:eastAsia="en-US"/>
        </w:rPr>
        <w:t xml:space="preserve">sin </w:t>
      </w:r>
      <w:r w:rsidR="00554EE6" w:rsidRPr="00F0074A">
        <w:rPr>
          <w:rFonts w:eastAsiaTheme="minorHAnsi"/>
          <w:lang w:eastAsia="en-US"/>
        </w:rPr>
        <w:t xml:space="preserve">verificar si persistía el fin legítimo para mantener dicha prisión preventiva. </w:t>
      </w:r>
      <w:r w:rsidR="00183A69">
        <w:rPr>
          <w:rFonts w:eastAsiaTheme="minorHAnsi"/>
          <w:lang w:eastAsia="en-US"/>
        </w:rPr>
        <w:t>En particular, l</w:t>
      </w:r>
      <w:r w:rsidR="00554EE6" w:rsidRPr="00F0074A">
        <w:rPr>
          <w:rFonts w:eastAsiaTheme="minorHAnsi"/>
          <w:lang w:eastAsia="en-US"/>
        </w:rPr>
        <w:t xml:space="preserve">a Corte nota que en la resolución de 2 de </w:t>
      </w:r>
      <w:r w:rsidR="00554EE6" w:rsidRPr="00F0074A">
        <w:rPr>
          <w:rFonts w:eastAsia="Calibri"/>
        </w:rPr>
        <w:t>octubre</w:t>
      </w:r>
      <w:r w:rsidR="00554EE6" w:rsidRPr="00F0074A">
        <w:rPr>
          <w:rFonts w:eastAsiaTheme="minorHAnsi"/>
          <w:lang w:eastAsia="en-US"/>
        </w:rPr>
        <w:t xml:space="preserve"> de 1996 el</w:t>
      </w:r>
      <w:r w:rsidR="00554EE6" w:rsidRPr="00F0074A">
        <w:t xml:space="preserve"> </w:t>
      </w:r>
      <w:r w:rsidR="00554EE6" w:rsidRPr="00F0074A">
        <w:rPr>
          <w:rFonts w:eastAsiaTheme="minorHAnsi"/>
          <w:lang w:eastAsia="en-US"/>
        </w:rPr>
        <w:t>Tribunal Oral en lo Criminal Federal No. 6, una vez descartada la inconstitucionalidad del referido artículo 10, justificó la continuación de la prisión preventiva del señor Jenkins únicamente sobre</w:t>
      </w:r>
      <w:r w:rsidRPr="00F0074A">
        <w:rPr>
          <w:rFonts w:eastAsiaTheme="minorHAnsi"/>
          <w:lang w:eastAsia="en-US"/>
        </w:rPr>
        <w:t xml:space="preserve"> (i) el estado procesal del procedimiento penal, (ii) la calidad de coautor en la comisión de los alegados delitos de tráfico ilícito de estupefacientes y asociación ilícita, (iii) la pena fijada para dichas figuras</w:t>
      </w:r>
      <w:r w:rsidR="00793E88">
        <w:rPr>
          <w:rFonts w:eastAsiaTheme="minorHAnsi"/>
          <w:lang w:eastAsia="en-US"/>
        </w:rPr>
        <w:t>,</w:t>
      </w:r>
      <w:r w:rsidRPr="00F0074A">
        <w:rPr>
          <w:rFonts w:eastAsiaTheme="minorHAnsi"/>
          <w:lang w:eastAsia="en-US"/>
        </w:rPr>
        <w:t xml:space="preserve"> y (iv) el hecho de que no se daba ninguno de los supuestos contemplado</w:t>
      </w:r>
      <w:r w:rsidR="005C15DA">
        <w:rPr>
          <w:rFonts w:eastAsiaTheme="minorHAnsi"/>
          <w:lang w:eastAsia="en-US"/>
        </w:rPr>
        <w:t>s</w:t>
      </w:r>
      <w:r w:rsidRPr="00F0074A">
        <w:rPr>
          <w:rFonts w:eastAsiaTheme="minorHAnsi"/>
          <w:lang w:eastAsia="en-US"/>
        </w:rPr>
        <w:t xml:space="preserve"> por el artículo 317 del Código Procesal Penal de la Nación</w:t>
      </w:r>
      <w:r w:rsidRPr="00F0074A">
        <w:rPr>
          <w:rStyle w:val="Refdenotaalpie"/>
          <w:rFonts w:eastAsiaTheme="minorHAnsi"/>
          <w:lang w:eastAsia="en-US"/>
        </w:rPr>
        <w:footnoteReference w:id="100"/>
      </w:r>
      <w:r w:rsidRPr="00F0074A">
        <w:rPr>
          <w:rFonts w:eastAsiaTheme="minorHAnsi"/>
          <w:lang w:eastAsia="en-US"/>
        </w:rPr>
        <w:t>.</w:t>
      </w:r>
    </w:p>
    <w:p w14:paraId="649E9877" w14:textId="77777777" w:rsidR="0058253F" w:rsidRPr="00F0074A" w:rsidRDefault="0058253F" w:rsidP="0058253F">
      <w:pPr>
        <w:widowControl/>
        <w:tabs>
          <w:tab w:val="left" w:pos="567"/>
        </w:tabs>
        <w:autoSpaceDE w:val="0"/>
        <w:autoSpaceDN w:val="0"/>
        <w:adjustRightInd/>
        <w:spacing w:line="240" w:lineRule="auto"/>
        <w:ind w:right="-90"/>
        <w:textAlignment w:val="auto"/>
      </w:pPr>
    </w:p>
    <w:p w14:paraId="334BF59B" w14:textId="49CF08EC" w:rsidR="00183A69" w:rsidRDefault="00A736B6" w:rsidP="00875E1D">
      <w:pPr>
        <w:widowControl/>
        <w:numPr>
          <w:ilvl w:val="0"/>
          <w:numId w:val="11"/>
        </w:numPr>
        <w:tabs>
          <w:tab w:val="left" w:pos="567"/>
          <w:tab w:val="num" w:pos="1569"/>
          <w:tab w:val="num" w:pos="12305"/>
        </w:tabs>
        <w:autoSpaceDE w:val="0"/>
        <w:autoSpaceDN w:val="0"/>
        <w:adjustRightInd/>
        <w:spacing w:line="240" w:lineRule="auto"/>
        <w:ind w:left="0" w:right="-90" w:firstLine="0"/>
        <w:textAlignment w:val="auto"/>
      </w:pPr>
      <w:r w:rsidRPr="004658E1">
        <w:rPr>
          <w:rFonts w:eastAsiaTheme="minorHAnsi"/>
          <w:lang w:eastAsia="en-US"/>
        </w:rPr>
        <w:t>Por otro lado, la Corte observa que el referido artículo 10 de la Ley No. 24.390 únicamente establecía</w:t>
      </w:r>
      <w:r w:rsidR="000E2B8A" w:rsidRPr="004658E1">
        <w:rPr>
          <w:rFonts w:eastAsiaTheme="minorHAnsi"/>
          <w:lang w:eastAsia="en-US"/>
        </w:rPr>
        <w:t xml:space="preserve"> que la excarcelación automática prevista en el artículo 1 </w:t>
      </w:r>
      <w:r w:rsidR="004658E1">
        <w:rPr>
          <w:rFonts w:eastAsiaTheme="minorHAnsi"/>
          <w:lang w:eastAsia="en-US"/>
        </w:rPr>
        <w:t xml:space="preserve">de dicha ley </w:t>
      </w:r>
      <w:r w:rsidR="000E2B8A" w:rsidRPr="004658E1">
        <w:rPr>
          <w:rFonts w:eastAsiaTheme="minorHAnsi"/>
          <w:lang w:eastAsia="en-US"/>
        </w:rPr>
        <w:t>no sería de aplicación para aquellas personas imputadas por delitos de narcotráfico</w:t>
      </w:r>
      <w:r w:rsidRPr="004658E1">
        <w:rPr>
          <w:rFonts w:eastAsiaTheme="minorHAnsi"/>
          <w:lang w:eastAsia="en-US"/>
        </w:rPr>
        <w:t xml:space="preserve">. </w:t>
      </w:r>
      <w:r w:rsidR="0032208D" w:rsidRPr="004658E1">
        <w:rPr>
          <w:rFonts w:eastAsiaTheme="minorHAnsi"/>
          <w:lang w:eastAsia="en-US"/>
        </w:rPr>
        <w:t xml:space="preserve">En efecto, </w:t>
      </w:r>
      <w:r w:rsidR="004658E1">
        <w:rPr>
          <w:rFonts w:eastAsiaTheme="minorHAnsi"/>
          <w:lang w:eastAsia="en-US"/>
        </w:rPr>
        <w:t>el señalado</w:t>
      </w:r>
      <w:r w:rsidRPr="004658E1">
        <w:rPr>
          <w:rFonts w:eastAsiaTheme="minorHAnsi"/>
          <w:lang w:eastAsia="en-US"/>
        </w:rPr>
        <w:t xml:space="preserve"> </w:t>
      </w:r>
      <w:r w:rsidR="000E2B8A" w:rsidRPr="004658E1">
        <w:rPr>
          <w:rFonts w:eastAsiaTheme="minorHAnsi"/>
          <w:lang w:eastAsia="en-US"/>
        </w:rPr>
        <w:t xml:space="preserve">artículo </w:t>
      </w:r>
      <w:r w:rsidR="004658E1">
        <w:rPr>
          <w:rFonts w:eastAsiaTheme="minorHAnsi"/>
          <w:lang w:eastAsia="en-US"/>
        </w:rPr>
        <w:t xml:space="preserve">10 </w:t>
      </w:r>
      <w:r w:rsidRPr="004658E1">
        <w:rPr>
          <w:rFonts w:eastAsiaTheme="minorHAnsi"/>
          <w:lang w:eastAsia="en-US"/>
        </w:rPr>
        <w:t xml:space="preserve">no </w:t>
      </w:r>
      <w:r w:rsidR="0032208D" w:rsidRPr="004658E1">
        <w:rPr>
          <w:rFonts w:eastAsiaTheme="minorHAnsi"/>
          <w:lang w:eastAsia="en-US"/>
        </w:rPr>
        <w:t>establecía una prohibición para otorgar</w:t>
      </w:r>
      <w:r w:rsidR="004658E1">
        <w:rPr>
          <w:rFonts w:eastAsiaTheme="minorHAnsi"/>
          <w:lang w:eastAsia="en-US"/>
        </w:rPr>
        <w:t>,</w:t>
      </w:r>
      <w:r w:rsidR="0032208D" w:rsidRPr="004658E1">
        <w:rPr>
          <w:rFonts w:eastAsiaTheme="minorHAnsi"/>
          <w:lang w:eastAsia="en-US"/>
        </w:rPr>
        <w:t xml:space="preserve"> </w:t>
      </w:r>
      <w:r w:rsidR="004658E1" w:rsidRPr="004658E1">
        <w:rPr>
          <w:rFonts w:eastAsiaTheme="minorHAnsi"/>
          <w:lang w:eastAsia="en-US"/>
        </w:rPr>
        <w:t>eventualmente</w:t>
      </w:r>
      <w:r w:rsidR="004658E1">
        <w:rPr>
          <w:rFonts w:eastAsiaTheme="minorHAnsi"/>
          <w:lang w:eastAsia="en-US"/>
        </w:rPr>
        <w:t>,</w:t>
      </w:r>
      <w:r w:rsidR="004658E1" w:rsidRPr="004658E1">
        <w:rPr>
          <w:rFonts w:eastAsiaTheme="minorHAnsi"/>
          <w:lang w:eastAsia="en-US"/>
        </w:rPr>
        <w:t xml:space="preserve"> </w:t>
      </w:r>
      <w:r w:rsidR="0032208D" w:rsidRPr="004658E1">
        <w:rPr>
          <w:rFonts w:eastAsiaTheme="minorHAnsi"/>
          <w:lang w:eastAsia="en-US"/>
        </w:rPr>
        <w:t>la libertad provisional a</w:t>
      </w:r>
      <w:r w:rsidRPr="004658E1">
        <w:rPr>
          <w:rFonts w:eastAsiaTheme="minorHAnsi"/>
          <w:lang w:eastAsia="en-US"/>
        </w:rPr>
        <w:t xml:space="preserve"> una persona imputada por delitos de narcotráfico. </w:t>
      </w:r>
      <w:r w:rsidR="004658E1">
        <w:rPr>
          <w:rFonts w:eastAsiaTheme="minorHAnsi"/>
          <w:lang w:eastAsia="en-US"/>
        </w:rPr>
        <w:t>L</w:t>
      </w:r>
      <w:r w:rsidR="00554EE6" w:rsidRPr="004658E1">
        <w:rPr>
          <w:rFonts w:eastAsiaTheme="minorHAnsi"/>
          <w:lang w:eastAsia="en-US"/>
        </w:rPr>
        <w:t>a</w:t>
      </w:r>
      <w:r w:rsidR="00554EE6" w:rsidRPr="00F0074A">
        <w:rPr>
          <w:rFonts w:eastAsiaTheme="minorHAnsi"/>
          <w:lang w:eastAsia="en-US"/>
        </w:rPr>
        <w:t xml:space="preserve"> Corte advierte que, </w:t>
      </w:r>
      <w:r w:rsidR="005243E0" w:rsidRPr="00F0074A">
        <w:rPr>
          <w:rFonts w:eastAsiaTheme="minorHAnsi"/>
          <w:lang w:eastAsia="en-US"/>
        </w:rPr>
        <w:t>aun</w:t>
      </w:r>
      <w:r w:rsidR="0058253F">
        <w:rPr>
          <w:rFonts w:eastAsiaTheme="minorHAnsi"/>
          <w:lang w:eastAsia="en-US"/>
        </w:rPr>
        <w:t xml:space="preserve"> asumiendo como válido lo</w:t>
      </w:r>
      <w:r w:rsidR="003754B6">
        <w:rPr>
          <w:rFonts w:eastAsiaTheme="minorHAnsi"/>
          <w:lang w:eastAsia="en-US"/>
        </w:rPr>
        <w:t xml:space="preserve"> establecido</w:t>
      </w:r>
      <w:r w:rsidR="0058253F">
        <w:rPr>
          <w:rFonts w:eastAsiaTheme="minorHAnsi"/>
          <w:lang w:eastAsia="en-US"/>
        </w:rPr>
        <w:t xml:space="preserve"> en el</w:t>
      </w:r>
      <w:r w:rsidR="00554EE6" w:rsidRPr="00F0074A">
        <w:rPr>
          <w:rFonts w:eastAsiaTheme="minorHAnsi"/>
          <w:lang w:eastAsia="en-US"/>
        </w:rPr>
        <w:t xml:space="preserve"> </w:t>
      </w:r>
      <w:r w:rsidR="0032208D">
        <w:rPr>
          <w:rFonts w:eastAsiaTheme="minorHAnsi"/>
          <w:lang w:eastAsia="en-US"/>
        </w:rPr>
        <w:t xml:space="preserve">señalado </w:t>
      </w:r>
      <w:r w:rsidR="00554EE6" w:rsidRPr="00F0074A">
        <w:rPr>
          <w:rFonts w:eastAsiaTheme="minorHAnsi"/>
          <w:lang w:eastAsia="en-US"/>
        </w:rPr>
        <w:t xml:space="preserve">artículo 10 en tanto que no era aplicable el límite máximo de la prisión preventiva, el tribunal tenía la obligación de indicar y fundamentar, de manera individualizada, los presupuestos materiales que aún existían para que </w:t>
      </w:r>
      <w:r w:rsidR="00183A69">
        <w:rPr>
          <w:rFonts w:eastAsiaTheme="minorHAnsi"/>
          <w:lang w:eastAsia="en-US"/>
        </w:rPr>
        <w:t>la medida de privación de libertad fuera considerada idónea, necesaria y proporcional al fin legítimo perseguido.</w:t>
      </w:r>
      <w:r w:rsidR="001A3D54">
        <w:rPr>
          <w:rFonts w:eastAsiaTheme="minorHAnsi"/>
          <w:lang w:eastAsia="en-US"/>
        </w:rPr>
        <w:t xml:space="preserve"> </w:t>
      </w:r>
    </w:p>
    <w:p w14:paraId="041A1620" w14:textId="3A5BB123" w:rsidR="004968EC" w:rsidRPr="004F183C" w:rsidRDefault="004968EC" w:rsidP="004F183C">
      <w:pPr>
        <w:pStyle w:val="Ttulo4"/>
        <w:rPr>
          <w:rStyle w:val="Ttulo4Car"/>
        </w:rPr>
      </w:pPr>
      <w:r w:rsidRPr="00972472">
        <w:tab/>
        <w:t>(i</w:t>
      </w:r>
      <w:r>
        <w:t>ii</w:t>
      </w:r>
      <w:r w:rsidRPr="00972472">
        <w:t xml:space="preserve">) </w:t>
      </w:r>
      <w:r w:rsidRPr="004F183C">
        <w:rPr>
          <w:rStyle w:val="Ttulo4Car"/>
        </w:rPr>
        <w:t>Conclusión</w:t>
      </w:r>
    </w:p>
    <w:p w14:paraId="08BC522D" w14:textId="284154EA" w:rsidR="003836DE" w:rsidRPr="003836DE" w:rsidRDefault="003836DE" w:rsidP="003836DE">
      <w:pPr>
        <w:numPr>
          <w:ilvl w:val="0"/>
          <w:numId w:val="11"/>
        </w:numPr>
        <w:tabs>
          <w:tab w:val="left" w:pos="567"/>
          <w:tab w:val="num" w:pos="1569"/>
          <w:tab w:val="num" w:pos="12305"/>
        </w:tabs>
        <w:spacing w:line="240" w:lineRule="auto"/>
        <w:ind w:left="0" w:firstLine="0"/>
        <w:rPr>
          <w:rFonts w:eastAsiaTheme="minorHAnsi"/>
          <w:lang w:eastAsia="en-US"/>
        </w:rPr>
      </w:pPr>
      <w:r w:rsidRPr="003836DE">
        <w:rPr>
          <w:rFonts w:eastAsiaTheme="minorHAnsi"/>
          <w:lang w:eastAsia="en-US"/>
        </w:rPr>
        <w:t>A la vista de lo anterior, la Corte concluye que el Estado es responsable por la violación de los artículos 7.1, 7.3, 7.5, 8.2 y 24 de la Convención Americana, en relación con el artículo 1.1 del mismo instrumento. Asimismo, la Corte observa que el referido trato desigual brindado al señor Jenkins fue como resultado de la aplicación del artículo 10 de la Ley No. 24.390. Si bien el Estado alegó que el 15 de junio de 2010 la Corte Suprema de Justicia de la Nación declaró la inconstitucionalidad de dicho artículo</w:t>
      </w:r>
      <w:r>
        <w:rPr>
          <w:rStyle w:val="Refdenotaalpie"/>
          <w:lang w:val="es-ES"/>
        </w:rPr>
        <w:footnoteReference w:id="101"/>
      </w:r>
      <w:r w:rsidRPr="003836DE">
        <w:rPr>
          <w:rFonts w:eastAsiaTheme="minorHAnsi"/>
          <w:lang w:eastAsia="en-US"/>
        </w:rPr>
        <w:t>, lo cual ha servido</w:t>
      </w:r>
      <w:r>
        <w:rPr>
          <w:rFonts w:eastAsiaTheme="minorHAnsi"/>
          <w:lang w:eastAsia="en-US"/>
        </w:rPr>
        <w:t xml:space="preserve">, tal y como indicó el Estado en su escrito de contestación, </w:t>
      </w:r>
      <w:r w:rsidRPr="003836DE">
        <w:rPr>
          <w:rFonts w:eastAsiaTheme="minorHAnsi"/>
          <w:lang w:eastAsia="en-US"/>
        </w:rPr>
        <w:t xml:space="preserve">como “pauta interpretativa para el resto de los tribunales del país”, lo cierto es que la Corte no cuenta con elementos suficientes para determinar si dicha norma </w:t>
      </w:r>
      <w:r w:rsidR="000E2B8A" w:rsidRPr="004658E1">
        <w:rPr>
          <w:rFonts w:eastAsiaTheme="minorHAnsi"/>
          <w:lang w:eastAsia="en-US"/>
        </w:rPr>
        <w:t xml:space="preserve">se encuentra </w:t>
      </w:r>
      <w:r w:rsidR="004658E1" w:rsidRPr="004658E1">
        <w:rPr>
          <w:rFonts w:eastAsiaTheme="minorHAnsi"/>
          <w:lang w:eastAsia="en-US"/>
        </w:rPr>
        <w:t xml:space="preserve">actualmente </w:t>
      </w:r>
      <w:r w:rsidR="000E2B8A" w:rsidRPr="004658E1">
        <w:rPr>
          <w:rFonts w:eastAsiaTheme="minorHAnsi"/>
          <w:lang w:eastAsia="en-US"/>
        </w:rPr>
        <w:t xml:space="preserve">vigente </w:t>
      </w:r>
      <w:r w:rsidR="004658E1" w:rsidRPr="004658E1">
        <w:rPr>
          <w:rFonts w:eastAsiaTheme="minorHAnsi"/>
          <w:lang w:eastAsia="en-US"/>
        </w:rPr>
        <w:t>o no</w:t>
      </w:r>
      <w:r w:rsidRPr="003836DE">
        <w:rPr>
          <w:rFonts w:eastAsiaTheme="minorHAnsi"/>
          <w:lang w:eastAsia="en-US"/>
        </w:rPr>
        <w:t>. En vista de lo anterior, la Corte declara que el Estado también incumplió con su deber de suprimir normas y prácticas de cualquier naturaleza que entrañen violación a las garantías previstas en la Convención</w:t>
      </w:r>
      <w:r w:rsidRPr="00F0074A">
        <w:rPr>
          <w:rFonts w:eastAsiaTheme="minorHAnsi"/>
          <w:vertAlign w:val="superscript"/>
          <w:lang w:eastAsia="en-US"/>
        </w:rPr>
        <w:footnoteReference w:id="102"/>
      </w:r>
      <w:r w:rsidRPr="003836DE">
        <w:rPr>
          <w:rFonts w:eastAsiaTheme="minorHAnsi"/>
          <w:lang w:eastAsia="en-US"/>
        </w:rPr>
        <w:t>, en violación del artículo 2 de la Convención Americana.</w:t>
      </w:r>
    </w:p>
    <w:p w14:paraId="6ED99649" w14:textId="77777777" w:rsidR="004F183C" w:rsidRPr="00F0074A" w:rsidRDefault="004F183C" w:rsidP="004F183C">
      <w:pPr>
        <w:pStyle w:val="Ttulo3"/>
      </w:pPr>
      <w:r w:rsidRPr="00F0074A">
        <w:tab/>
      </w:r>
      <w:bookmarkStart w:id="75" w:name="_Toc27405434"/>
      <w:r>
        <w:t>b</w:t>
      </w:r>
      <w:r w:rsidRPr="00F0074A">
        <w:t>.3 Efectividad de los recursos para cuestionar la privación de libertad</w:t>
      </w:r>
      <w:bookmarkEnd w:id="75"/>
    </w:p>
    <w:p w14:paraId="2C676821" w14:textId="715CEB01" w:rsidR="004F183C" w:rsidRDefault="0020109A" w:rsidP="004F183C">
      <w:pPr>
        <w:numPr>
          <w:ilvl w:val="0"/>
          <w:numId w:val="11"/>
        </w:numPr>
        <w:tabs>
          <w:tab w:val="left" w:pos="567"/>
          <w:tab w:val="num" w:pos="1569"/>
          <w:tab w:val="num" w:pos="12305"/>
        </w:tabs>
        <w:spacing w:line="240" w:lineRule="auto"/>
        <w:ind w:left="0" w:firstLine="0"/>
        <w:rPr>
          <w:spacing w:val="-2"/>
        </w:rPr>
      </w:pPr>
      <w:r w:rsidRPr="004F183C">
        <w:t xml:space="preserve">Finalmente, </w:t>
      </w:r>
      <w:r w:rsidRPr="004F183C">
        <w:rPr>
          <w:spacing w:val="-2"/>
        </w:rPr>
        <w:t>en relación con el alegato relat</w:t>
      </w:r>
      <w:r w:rsidR="00793E88">
        <w:rPr>
          <w:spacing w:val="-2"/>
        </w:rPr>
        <w:t>ivo a la efectividad</w:t>
      </w:r>
      <w:r w:rsidRPr="004F183C">
        <w:rPr>
          <w:spacing w:val="-2"/>
        </w:rPr>
        <w:t xml:space="preserve"> de los recursos interpuestos por el señor Jenkins para solicitar su excarcelación,</w:t>
      </w:r>
      <w:r w:rsidR="004F183C">
        <w:rPr>
          <w:spacing w:val="-2"/>
        </w:rPr>
        <w:t xml:space="preserve"> la Corte recuerda que e</w:t>
      </w:r>
      <w:r w:rsidR="004F183C" w:rsidRPr="00D87719">
        <w:rPr>
          <w:spacing w:val="-2"/>
        </w:rPr>
        <w:t xml:space="preserve">l artículo 7.6 de la Convención protege el </w:t>
      </w:r>
      <w:r w:rsidR="004F183C" w:rsidRPr="004F183C">
        <w:rPr>
          <w:rFonts w:eastAsiaTheme="minorHAnsi"/>
          <w:lang w:eastAsia="en-US"/>
        </w:rPr>
        <w:t>derecho</w:t>
      </w:r>
      <w:r w:rsidR="004F183C" w:rsidRPr="00D87719">
        <w:rPr>
          <w:spacing w:val="-2"/>
        </w:rPr>
        <w:t xml:space="preserve"> de toda persona privada de la libertad a recurrir la legalidad de su detención ante un juez o tribunal competente, a fin de que éste decida, sin demora, sobre la legalidad de la privación de libertad y, en su caso, decrete su libertad. </w:t>
      </w:r>
      <w:r w:rsidR="004F183C">
        <w:rPr>
          <w:spacing w:val="-2"/>
        </w:rPr>
        <w:t>E</w:t>
      </w:r>
      <w:r w:rsidR="004F183C" w:rsidRPr="00D87719">
        <w:rPr>
          <w:spacing w:val="-2"/>
        </w:rPr>
        <w:t xml:space="preserve">l Tribunal ha interpretado que este derecho va dirigido a permitir el control judicial sobre las privaciones de libertad y se corresponde con la acción o recurso de </w:t>
      </w:r>
      <w:r w:rsidR="004F183C" w:rsidRPr="00D87719">
        <w:rPr>
          <w:i/>
          <w:spacing w:val="-2"/>
        </w:rPr>
        <w:t>hábeas corpus</w:t>
      </w:r>
      <w:r w:rsidR="004F183C" w:rsidRPr="00264103">
        <w:rPr>
          <w:rStyle w:val="Refdenotaalpie"/>
          <w:spacing w:val="-2"/>
        </w:rPr>
        <w:footnoteReference w:id="103"/>
      </w:r>
      <w:r w:rsidR="004F183C" w:rsidRPr="00D87719">
        <w:rPr>
          <w:spacing w:val="-2"/>
        </w:rPr>
        <w:t xml:space="preserve">. </w:t>
      </w:r>
    </w:p>
    <w:p w14:paraId="16128C56" w14:textId="77777777" w:rsidR="004F183C" w:rsidRDefault="004F183C" w:rsidP="004F183C">
      <w:pPr>
        <w:tabs>
          <w:tab w:val="left" w:pos="567"/>
        </w:tabs>
        <w:spacing w:line="240" w:lineRule="auto"/>
        <w:rPr>
          <w:spacing w:val="-2"/>
        </w:rPr>
      </w:pPr>
    </w:p>
    <w:p w14:paraId="609E8A9E" w14:textId="2CE2D57D" w:rsidR="009C1102" w:rsidRPr="004F183C" w:rsidRDefault="004F183C" w:rsidP="00DA1B65">
      <w:pPr>
        <w:numPr>
          <w:ilvl w:val="0"/>
          <w:numId w:val="11"/>
        </w:numPr>
        <w:tabs>
          <w:tab w:val="left" w:pos="567"/>
          <w:tab w:val="num" w:pos="1569"/>
          <w:tab w:val="num" w:pos="12305"/>
        </w:tabs>
        <w:spacing w:line="240" w:lineRule="auto"/>
        <w:ind w:left="0" w:firstLine="0"/>
      </w:pPr>
      <w:r>
        <w:rPr>
          <w:spacing w:val="-2"/>
        </w:rPr>
        <w:t>L</w:t>
      </w:r>
      <w:r w:rsidR="0020109A" w:rsidRPr="004F183C">
        <w:rPr>
          <w:spacing w:val="-2"/>
        </w:rPr>
        <w:t xml:space="preserve">a Corte considera </w:t>
      </w:r>
      <w:r>
        <w:rPr>
          <w:spacing w:val="-2"/>
        </w:rPr>
        <w:t xml:space="preserve">en el presente caso </w:t>
      </w:r>
      <w:r w:rsidR="009C1102" w:rsidRPr="004F183C">
        <w:rPr>
          <w:spacing w:val="-2"/>
        </w:rPr>
        <w:t>que los cuestionamientos relativos a la motivación de las decisiones internas</w:t>
      </w:r>
      <w:r w:rsidR="009C1102" w:rsidRPr="00875E1D">
        <w:rPr>
          <w:spacing w:val="-2"/>
        </w:rPr>
        <w:t xml:space="preserve"> y a los fundamentos de la prórroga de la medida de prisión preventiva que fueron analizados previamente y que fueron considerados arbitrarios tuvieron como consecuencia que los recursos que fueron presentados por la defensa del señor </w:t>
      </w:r>
      <w:r w:rsidR="00581DF4">
        <w:rPr>
          <w:spacing w:val="-2"/>
        </w:rPr>
        <w:t>Jenkins</w:t>
      </w:r>
      <w:r w:rsidR="009C1102" w:rsidRPr="00875E1D">
        <w:rPr>
          <w:spacing w:val="-2"/>
        </w:rPr>
        <w:t xml:space="preserve"> no fueran efectivos. Por ende</w:t>
      </w:r>
      <w:r w:rsidR="008A1387">
        <w:rPr>
          <w:spacing w:val="-2"/>
        </w:rPr>
        <w:t>,</w:t>
      </w:r>
      <w:r w:rsidR="009C1102" w:rsidRPr="008372D9">
        <w:rPr>
          <w:spacing w:val="-2"/>
        </w:rPr>
        <w:t xml:space="preserve"> el Estado es también responsable por una vulneración </w:t>
      </w:r>
      <w:r w:rsidR="009C1102" w:rsidRPr="00C01360">
        <w:rPr>
          <w:spacing w:val="-2"/>
        </w:rPr>
        <w:t>al artículo 7.6</w:t>
      </w:r>
      <w:r w:rsidR="009C1102" w:rsidRPr="00367639">
        <w:rPr>
          <w:spacing w:val="-2"/>
        </w:rPr>
        <w:t xml:space="preserve"> de la Convención Americana</w:t>
      </w:r>
      <w:r w:rsidR="00E03025">
        <w:rPr>
          <w:spacing w:val="-2"/>
        </w:rPr>
        <w:t xml:space="preserve">, </w:t>
      </w:r>
      <w:r w:rsidR="00E03025" w:rsidRPr="003836DE">
        <w:rPr>
          <w:rFonts w:eastAsiaTheme="minorHAnsi"/>
          <w:lang w:eastAsia="en-US"/>
        </w:rPr>
        <w:t>en relación con el artículo 1.1 del mismo instrumento</w:t>
      </w:r>
      <w:r w:rsidR="009C1102" w:rsidRPr="002321AE">
        <w:rPr>
          <w:spacing w:val="-2"/>
        </w:rPr>
        <w:t>.</w:t>
      </w:r>
    </w:p>
    <w:p w14:paraId="3D38C543" w14:textId="566CEDA8" w:rsidR="0094111B" w:rsidRPr="00F0074A" w:rsidRDefault="00467516" w:rsidP="0094111B">
      <w:pPr>
        <w:pStyle w:val="Ttulo1"/>
        <w:rPr>
          <w:rStyle w:val="Ttulo1Car"/>
          <w:b/>
          <w:bCs/>
        </w:rPr>
      </w:pPr>
      <w:bookmarkStart w:id="76" w:name="_Toc27405435"/>
      <w:bookmarkEnd w:id="61"/>
      <w:bookmarkEnd w:id="62"/>
      <w:bookmarkEnd w:id="63"/>
      <w:r w:rsidRPr="00F0074A">
        <w:rPr>
          <w:rStyle w:val="Ttulo1Car"/>
          <w:b/>
          <w:bCs/>
          <w:caps/>
        </w:rPr>
        <w:t>V</w:t>
      </w:r>
      <w:r w:rsidR="00241F90" w:rsidRPr="00F0074A">
        <w:rPr>
          <w:rStyle w:val="Ttulo1Car"/>
          <w:b/>
          <w:bCs/>
          <w:caps/>
        </w:rPr>
        <w:t>I</w:t>
      </w:r>
      <w:r w:rsidRPr="00F0074A">
        <w:rPr>
          <w:rStyle w:val="Ttulo1Car"/>
          <w:b/>
          <w:bCs/>
          <w:caps/>
        </w:rPr>
        <w:t>II-</w:t>
      </w:r>
      <w:r w:rsidR="00964E7B" w:rsidRPr="00F0074A">
        <w:rPr>
          <w:rStyle w:val="Ttulo1Car"/>
          <w:b/>
          <w:bCs/>
          <w:caps/>
        </w:rPr>
        <w:t>2</w:t>
      </w:r>
      <w:r w:rsidRPr="00F0074A">
        <w:rPr>
          <w:rStyle w:val="Ttulo1Car"/>
          <w:b/>
          <w:bCs/>
          <w:caps/>
        </w:rPr>
        <w:br/>
      </w:r>
      <w:r w:rsidR="00B21AF4" w:rsidRPr="00F0074A">
        <w:rPr>
          <w:rStyle w:val="Ttulo1Car"/>
          <w:b/>
          <w:bCs/>
          <w:caps/>
        </w:rPr>
        <w:t xml:space="preserve">DERECHO A LAS </w:t>
      </w:r>
      <w:r w:rsidR="00891A4D" w:rsidRPr="00F0074A">
        <w:rPr>
          <w:rStyle w:val="Ttulo1Car"/>
          <w:b/>
          <w:bCs/>
          <w:caps/>
        </w:rPr>
        <w:t xml:space="preserve">GARANTÍAS JUDICIALES Y </w:t>
      </w:r>
      <w:r w:rsidR="00B21AF4" w:rsidRPr="00F0074A">
        <w:rPr>
          <w:rStyle w:val="Ttulo1Car"/>
          <w:b/>
          <w:bCs/>
          <w:caps/>
        </w:rPr>
        <w:t xml:space="preserve">A LA </w:t>
      </w:r>
      <w:r w:rsidR="00891A4D" w:rsidRPr="00F0074A">
        <w:rPr>
          <w:rStyle w:val="Ttulo1Car"/>
          <w:b/>
          <w:bCs/>
          <w:caps/>
        </w:rPr>
        <w:t>PROTECCIÓN JUDICIAL</w:t>
      </w:r>
      <w:r w:rsidR="007A57CF">
        <w:rPr>
          <w:rStyle w:val="Refdenotaalpie"/>
          <w:snapToGrid/>
        </w:rPr>
        <w:footnoteReference w:id="104"/>
      </w:r>
      <w:bookmarkEnd w:id="76"/>
      <w:r w:rsidR="004C3044" w:rsidRPr="00F0074A">
        <w:rPr>
          <w:rStyle w:val="Ttulo1Car"/>
          <w:b/>
          <w:bCs/>
          <w:caps/>
        </w:rPr>
        <w:t xml:space="preserve"> </w:t>
      </w:r>
    </w:p>
    <w:p w14:paraId="45F46A77" w14:textId="421A74D7" w:rsidR="00964E7B" w:rsidRPr="00F0074A" w:rsidRDefault="00964E7B" w:rsidP="00E06F63">
      <w:pPr>
        <w:numPr>
          <w:ilvl w:val="0"/>
          <w:numId w:val="11"/>
        </w:numPr>
        <w:tabs>
          <w:tab w:val="left" w:pos="567"/>
          <w:tab w:val="num" w:pos="1569"/>
          <w:tab w:val="num" w:pos="12305"/>
        </w:tabs>
        <w:spacing w:line="240" w:lineRule="auto"/>
        <w:ind w:left="0" w:firstLine="0"/>
      </w:pPr>
      <w:r w:rsidRPr="00F0074A">
        <w:t>En el presente capítulo la Corte examinará los alegatos relativos a</w:t>
      </w:r>
      <w:r w:rsidR="00DA1539" w:rsidRPr="00F0074A">
        <w:t xml:space="preserve"> la violación del plazo razonable en el marco de la acción por daños y perjuicios interpuesta por el señor Jenkins</w:t>
      </w:r>
      <w:r w:rsidRPr="00F0074A">
        <w:t xml:space="preserve"> todo ello en alegada violación de los artículos </w:t>
      </w:r>
      <w:r w:rsidR="00891A4D" w:rsidRPr="00F0074A">
        <w:t>8</w:t>
      </w:r>
      <w:r w:rsidRPr="00F0074A">
        <w:t xml:space="preserve"> y </w:t>
      </w:r>
      <w:r w:rsidR="00891A4D" w:rsidRPr="00F0074A">
        <w:t>2</w:t>
      </w:r>
      <w:r w:rsidRPr="00F0074A">
        <w:t xml:space="preserve">5 de la Convención Americana, en relación con </w:t>
      </w:r>
      <w:r w:rsidR="00DA1539" w:rsidRPr="00F0074A">
        <w:t>el</w:t>
      </w:r>
      <w:r w:rsidRPr="00F0074A">
        <w:t xml:space="preserve"> artícul</w:t>
      </w:r>
      <w:r w:rsidR="00891A4D" w:rsidRPr="00F0074A">
        <w:t>o 1.1 de dicho instrumento</w:t>
      </w:r>
      <w:r w:rsidRPr="00F0074A">
        <w:t>.</w:t>
      </w:r>
    </w:p>
    <w:p w14:paraId="4CA529E0" w14:textId="7FA0FDCC" w:rsidR="00467516" w:rsidRPr="00F0074A" w:rsidRDefault="00467516" w:rsidP="00E06F63">
      <w:pPr>
        <w:pStyle w:val="Ttulo2"/>
      </w:pPr>
      <w:bookmarkStart w:id="77" w:name="_Toc27405436"/>
      <w:r w:rsidRPr="00F0074A">
        <w:t>A.</w:t>
      </w:r>
      <w:r w:rsidRPr="00F0074A">
        <w:tab/>
      </w:r>
      <w:r w:rsidR="00390E2D">
        <w:t xml:space="preserve"> </w:t>
      </w:r>
      <w:r w:rsidRPr="00F0074A">
        <w:t>Argumentos de las partes y de la Comisión</w:t>
      </w:r>
      <w:bookmarkEnd w:id="77"/>
    </w:p>
    <w:p w14:paraId="14C8A882" w14:textId="314204F3" w:rsidR="00D845E3" w:rsidRDefault="00D845E3" w:rsidP="009F2D9B">
      <w:pPr>
        <w:numPr>
          <w:ilvl w:val="0"/>
          <w:numId w:val="11"/>
        </w:numPr>
        <w:tabs>
          <w:tab w:val="left" w:pos="567"/>
          <w:tab w:val="num" w:pos="1569"/>
          <w:tab w:val="num" w:pos="12305"/>
        </w:tabs>
        <w:spacing w:line="240" w:lineRule="auto"/>
        <w:ind w:left="0" w:firstLine="0"/>
        <w:rPr>
          <w:rFonts w:eastAsia="Batang"/>
          <w:b/>
          <w:lang w:eastAsia="en-US"/>
        </w:rPr>
      </w:pPr>
      <w:r w:rsidRPr="004658E1">
        <w:rPr>
          <w:rFonts w:eastAsia="Batang"/>
          <w:lang w:eastAsia="en-US"/>
        </w:rPr>
        <w:t xml:space="preserve">La </w:t>
      </w:r>
      <w:r w:rsidRPr="004658E1">
        <w:rPr>
          <w:rFonts w:eastAsia="Batang"/>
          <w:b/>
          <w:i/>
          <w:lang w:eastAsia="en-US"/>
        </w:rPr>
        <w:t>Comisión</w:t>
      </w:r>
      <w:r w:rsidRPr="004658E1">
        <w:rPr>
          <w:rFonts w:eastAsia="Batang"/>
          <w:lang w:eastAsia="en-US"/>
        </w:rPr>
        <w:t xml:space="preserve"> </w:t>
      </w:r>
      <w:r w:rsidR="00781395" w:rsidRPr="00F0074A">
        <w:t>alegó</w:t>
      </w:r>
      <w:r w:rsidRPr="004658E1">
        <w:rPr>
          <w:rFonts w:eastAsia="Batang"/>
          <w:lang w:eastAsia="en-US"/>
        </w:rPr>
        <w:t xml:space="preserve"> que la totalidad del proceso de daños y perjuicios tuvo una duración de nueve años y tres meses</w:t>
      </w:r>
      <w:r w:rsidR="00781395" w:rsidRPr="004658E1">
        <w:rPr>
          <w:rFonts w:eastAsia="Batang"/>
          <w:lang w:eastAsia="en-US"/>
        </w:rPr>
        <w:t>,</w:t>
      </w:r>
      <w:r w:rsidR="003D467C" w:rsidRPr="004658E1">
        <w:rPr>
          <w:rFonts w:eastAsia="Batang"/>
          <w:lang w:eastAsia="en-US"/>
        </w:rPr>
        <w:t xml:space="preserve"> lo cual excedió el plazo razonable</w:t>
      </w:r>
      <w:r w:rsidRPr="004658E1">
        <w:rPr>
          <w:rFonts w:eastAsia="Batang"/>
          <w:lang w:eastAsia="en-US"/>
        </w:rPr>
        <w:t xml:space="preserve">. </w:t>
      </w:r>
      <w:r w:rsidR="003D467C" w:rsidRPr="004658E1">
        <w:rPr>
          <w:rFonts w:eastAsia="Batang"/>
          <w:lang w:eastAsia="en-US"/>
        </w:rPr>
        <w:t>Precisó</w:t>
      </w:r>
      <w:r w:rsidR="003D467C" w:rsidRPr="004658E1">
        <w:rPr>
          <w:rFonts w:eastAsia="Batang"/>
          <w:b/>
          <w:lang w:eastAsia="en-US"/>
        </w:rPr>
        <w:t xml:space="preserve"> </w:t>
      </w:r>
      <w:r w:rsidR="003D467C" w:rsidRPr="004658E1">
        <w:rPr>
          <w:rFonts w:eastAsia="Batang"/>
          <w:lang w:eastAsia="en-US"/>
        </w:rPr>
        <w:t xml:space="preserve">que el proceso no revestía complejidad, toda vez que el objeto de </w:t>
      </w:r>
      <w:r w:rsidRPr="004658E1">
        <w:rPr>
          <w:rFonts w:eastAsia="Batang"/>
          <w:lang w:eastAsia="en-US"/>
        </w:rPr>
        <w:t>la demanda de daños y perjuicios</w:t>
      </w:r>
      <w:r w:rsidR="003D467C" w:rsidRPr="004658E1">
        <w:rPr>
          <w:rFonts w:eastAsia="Batang"/>
          <w:lang w:eastAsia="en-US"/>
        </w:rPr>
        <w:t xml:space="preserve"> interpuesta por el señor Jenkins</w:t>
      </w:r>
      <w:r w:rsidRPr="004658E1">
        <w:rPr>
          <w:rFonts w:eastAsia="Batang"/>
          <w:lang w:eastAsia="en-US"/>
        </w:rPr>
        <w:t xml:space="preserve"> era obtener una indemnización pecuniaria por la detención preventiva </w:t>
      </w:r>
      <w:r w:rsidR="00781395" w:rsidRPr="004658E1">
        <w:rPr>
          <w:rFonts w:eastAsia="Batang"/>
          <w:lang w:eastAsia="en-US"/>
        </w:rPr>
        <w:t>y que</w:t>
      </w:r>
      <w:r w:rsidRPr="004658E1">
        <w:rPr>
          <w:rFonts w:eastAsia="Batang"/>
          <w:lang w:eastAsia="en-US"/>
        </w:rPr>
        <w:t xml:space="preserve"> las determinaciones del tribunal respecto de la posible responsabilidad del Estado por tales hechos no implicaban </w:t>
      </w:r>
      <w:r w:rsidR="00781395" w:rsidRPr="004658E1">
        <w:rPr>
          <w:rFonts w:eastAsia="Batang"/>
          <w:lang w:eastAsia="en-US"/>
        </w:rPr>
        <w:t xml:space="preserve">una </w:t>
      </w:r>
      <w:r w:rsidRPr="004658E1">
        <w:rPr>
          <w:rFonts w:eastAsia="Batang"/>
          <w:lang w:eastAsia="en-US"/>
        </w:rPr>
        <w:t xml:space="preserve">práctica extensa de pruebas ni la necesidad de dilucidar </w:t>
      </w:r>
      <w:r w:rsidRPr="00F0074A">
        <w:t>debates</w:t>
      </w:r>
      <w:r w:rsidRPr="004658E1">
        <w:rPr>
          <w:rFonts w:eastAsia="Batang"/>
          <w:lang w:eastAsia="en-US"/>
        </w:rPr>
        <w:t xml:space="preserve"> fácticos importantes</w:t>
      </w:r>
      <w:r w:rsidR="003D467C" w:rsidRPr="004658E1">
        <w:rPr>
          <w:rFonts w:eastAsia="Batang"/>
          <w:lang w:eastAsia="en-US"/>
        </w:rPr>
        <w:t>.</w:t>
      </w:r>
      <w:r w:rsidR="00781395" w:rsidRPr="004658E1">
        <w:rPr>
          <w:rFonts w:eastAsia="Batang"/>
          <w:b/>
          <w:lang w:eastAsia="en-US"/>
        </w:rPr>
        <w:t xml:space="preserve"> </w:t>
      </w:r>
      <w:r w:rsidRPr="004658E1">
        <w:rPr>
          <w:rFonts w:eastAsia="Batang"/>
          <w:lang w:eastAsia="en-US"/>
        </w:rPr>
        <w:t>Asimismo, en cuanto a la actuación de las autoridades estatales, la Comisión esgrim</w:t>
      </w:r>
      <w:r w:rsidR="003D467C" w:rsidRPr="004658E1">
        <w:rPr>
          <w:rFonts w:eastAsia="Batang"/>
          <w:lang w:eastAsia="en-US"/>
        </w:rPr>
        <w:t>ió</w:t>
      </w:r>
      <w:r w:rsidRPr="004658E1">
        <w:rPr>
          <w:rFonts w:eastAsia="Batang"/>
          <w:lang w:eastAsia="en-US"/>
        </w:rPr>
        <w:t xml:space="preserve"> que no </w:t>
      </w:r>
      <w:r w:rsidR="003D467C" w:rsidRPr="004658E1">
        <w:rPr>
          <w:rFonts w:eastAsia="Batang"/>
          <w:lang w:eastAsia="en-US"/>
        </w:rPr>
        <w:t>contaba</w:t>
      </w:r>
      <w:r w:rsidRPr="004658E1">
        <w:rPr>
          <w:rFonts w:eastAsia="Batang"/>
          <w:lang w:eastAsia="en-US"/>
        </w:rPr>
        <w:t xml:space="preserve"> con información de actuación alguna reali</w:t>
      </w:r>
      <w:r w:rsidR="003D467C" w:rsidRPr="004658E1">
        <w:rPr>
          <w:rFonts w:eastAsia="Batang"/>
          <w:lang w:eastAsia="en-US"/>
        </w:rPr>
        <w:t xml:space="preserve">zada entre junio de 2000 y 2007 y que era </w:t>
      </w:r>
      <w:r w:rsidRPr="004658E1">
        <w:rPr>
          <w:rFonts w:eastAsia="Batang"/>
          <w:lang w:eastAsia="en-US"/>
        </w:rPr>
        <w:t>deber del Estado expone</w:t>
      </w:r>
      <w:r w:rsidR="00781395" w:rsidRPr="004658E1">
        <w:rPr>
          <w:rFonts w:eastAsia="Batang"/>
          <w:lang w:eastAsia="en-US"/>
        </w:rPr>
        <w:t>r y probar la razón por la cual</w:t>
      </w:r>
      <w:r w:rsidRPr="004658E1">
        <w:rPr>
          <w:rFonts w:eastAsia="Batang"/>
          <w:lang w:eastAsia="en-US"/>
        </w:rPr>
        <w:t xml:space="preserve"> se ha</w:t>
      </w:r>
      <w:r w:rsidR="00781395" w:rsidRPr="004658E1">
        <w:rPr>
          <w:rFonts w:eastAsia="Batang"/>
          <w:lang w:eastAsia="en-US"/>
        </w:rPr>
        <w:t>bría</w:t>
      </w:r>
      <w:r w:rsidRPr="004658E1">
        <w:rPr>
          <w:rFonts w:eastAsia="Batang"/>
          <w:lang w:eastAsia="en-US"/>
        </w:rPr>
        <w:t xml:space="preserve"> requerido más tiempo del razonable para dictar la sentencia definitiva. Además</w:t>
      </w:r>
      <w:r w:rsidR="00781395" w:rsidRPr="004658E1">
        <w:rPr>
          <w:rFonts w:eastAsia="Batang"/>
          <w:lang w:eastAsia="en-US"/>
        </w:rPr>
        <w:t>, según la Comisión no exist</w:t>
      </w:r>
      <w:r w:rsidRPr="004658E1">
        <w:rPr>
          <w:rFonts w:eastAsia="Batang"/>
          <w:lang w:eastAsia="en-US"/>
        </w:rPr>
        <w:t>e información de que el señor Jenkins obstaculizó el proceso.</w:t>
      </w:r>
      <w:r w:rsidR="00781395" w:rsidRPr="004658E1">
        <w:rPr>
          <w:rFonts w:eastAsia="Batang"/>
          <w:lang w:eastAsia="en-US"/>
        </w:rPr>
        <w:t xml:space="preserve"> En virtud de lo anterior, la Comisión concluyó que el Estado incumplió la garantía del plazo razonable en violación de los artículos 8.1 y 25 de la Convención Americana, en relación con el artículo 1.1 del mismo instrumento.</w:t>
      </w:r>
      <w:r w:rsidRPr="004658E1">
        <w:rPr>
          <w:rFonts w:eastAsia="Batang"/>
          <w:b/>
          <w:lang w:eastAsia="en-US"/>
        </w:rPr>
        <w:t xml:space="preserve"> </w:t>
      </w:r>
    </w:p>
    <w:p w14:paraId="4CC4A6BC" w14:textId="77777777" w:rsidR="004658E1" w:rsidRPr="004658E1" w:rsidRDefault="004658E1" w:rsidP="004658E1">
      <w:pPr>
        <w:tabs>
          <w:tab w:val="left" w:pos="567"/>
          <w:tab w:val="num" w:pos="12305"/>
        </w:tabs>
        <w:spacing w:line="240" w:lineRule="auto"/>
        <w:rPr>
          <w:rFonts w:eastAsia="Batang"/>
          <w:b/>
          <w:lang w:eastAsia="en-US"/>
        </w:rPr>
      </w:pPr>
    </w:p>
    <w:p w14:paraId="70F52D8F" w14:textId="2F3D4693" w:rsidR="00D845E3" w:rsidRPr="00F0074A" w:rsidRDefault="003D467C" w:rsidP="00E06F63">
      <w:pPr>
        <w:numPr>
          <w:ilvl w:val="0"/>
          <w:numId w:val="11"/>
        </w:numPr>
        <w:tabs>
          <w:tab w:val="left" w:pos="567"/>
          <w:tab w:val="num" w:pos="1569"/>
          <w:tab w:val="num" w:pos="12305"/>
        </w:tabs>
        <w:spacing w:line="240" w:lineRule="auto"/>
        <w:ind w:left="0" w:firstLine="0"/>
        <w:rPr>
          <w:rFonts w:eastAsia="Batang"/>
          <w:b/>
          <w:lang w:eastAsia="en-US"/>
        </w:rPr>
      </w:pPr>
      <w:r w:rsidRPr="00F0074A">
        <w:rPr>
          <w:rFonts w:eastAsia="Batang"/>
          <w:lang w:eastAsia="en-US"/>
        </w:rPr>
        <w:t xml:space="preserve">Los </w:t>
      </w:r>
      <w:r w:rsidRPr="00F0074A">
        <w:rPr>
          <w:rFonts w:eastAsia="Batang"/>
          <w:b/>
          <w:i/>
          <w:lang w:eastAsia="en-US"/>
        </w:rPr>
        <w:t>representantes</w:t>
      </w:r>
      <w:r w:rsidR="00D845E3" w:rsidRPr="00F0074A">
        <w:rPr>
          <w:rFonts w:eastAsia="Batang"/>
          <w:lang w:eastAsia="en-US"/>
        </w:rPr>
        <w:t xml:space="preserve"> </w:t>
      </w:r>
      <w:r w:rsidR="00781395" w:rsidRPr="00F0074A">
        <w:rPr>
          <w:rFonts w:eastAsia="Batang"/>
          <w:lang w:eastAsia="en-US"/>
        </w:rPr>
        <w:t>indicaron</w:t>
      </w:r>
      <w:r w:rsidR="0094111B" w:rsidRPr="00F0074A">
        <w:rPr>
          <w:rFonts w:eastAsia="Batang"/>
          <w:lang w:eastAsia="en-US"/>
        </w:rPr>
        <w:t>, en el mismo sentido que la Comisión,</w:t>
      </w:r>
      <w:r w:rsidR="00781395" w:rsidRPr="00F0074A">
        <w:rPr>
          <w:rFonts w:eastAsia="Batang"/>
          <w:lang w:eastAsia="en-US"/>
        </w:rPr>
        <w:t xml:space="preserve"> que el Estado había violado el derecho a la protección judicial y al plazo razonable </w:t>
      </w:r>
      <w:r w:rsidR="0094111B" w:rsidRPr="00F0074A">
        <w:rPr>
          <w:rFonts w:eastAsia="Batang"/>
          <w:lang w:eastAsia="en-US"/>
        </w:rPr>
        <w:t>en el marco del</w:t>
      </w:r>
      <w:r w:rsidR="00781395" w:rsidRPr="00F0074A">
        <w:rPr>
          <w:rFonts w:eastAsia="Batang"/>
          <w:lang w:eastAsia="en-US"/>
        </w:rPr>
        <w:t xml:space="preserve"> proceso de daños y perjuicios</w:t>
      </w:r>
      <w:r w:rsidR="00D845E3" w:rsidRPr="00F0074A">
        <w:rPr>
          <w:rFonts w:eastAsia="Batang"/>
          <w:lang w:eastAsia="en-US"/>
        </w:rPr>
        <w:t xml:space="preserve">. </w:t>
      </w:r>
    </w:p>
    <w:p w14:paraId="08E1B8D8" w14:textId="77777777" w:rsidR="00D845E3" w:rsidRPr="00F0074A" w:rsidRDefault="00D845E3" w:rsidP="00E06F63">
      <w:pPr>
        <w:tabs>
          <w:tab w:val="left" w:pos="567"/>
        </w:tabs>
        <w:spacing w:line="240" w:lineRule="auto"/>
        <w:rPr>
          <w:rFonts w:eastAsia="Batang"/>
          <w:highlight w:val="yellow"/>
          <w:lang w:eastAsia="en-US"/>
        </w:rPr>
      </w:pPr>
    </w:p>
    <w:p w14:paraId="567CED8A" w14:textId="53FF8395" w:rsidR="0094111B" w:rsidRPr="00F0074A" w:rsidRDefault="00D845E3" w:rsidP="004E7EAA">
      <w:pPr>
        <w:numPr>
          <w:ilvl w:val="0"/>
          <w:numId w:val="11"/>
        </w:numPr>
        <w:tabs>
          <w:tab w:val="left" w:pos="567"/>
          <w:tab w:val="num" w:pos="1569"/>
          <w:tab w:val="num" w:pos="12305"/>
        </w:tabs>
        <w:spacing w:line="240" w:lineRule="auto"/>
        <w:ind w:left="0" w:firstLine="0"/>
        <w:rPr>
          <w:rFonts w:eastAsia="Batang"/>
          <w:lang w:eastAsia="en-US"/>
        </w:rPr>
      </w:pPr>
      <w:r w:rsidRPr="00F0074A">
        <w:rPr>
          <w:rFonts w:eastAsia="Batang"/>
          <w:lang w:eastAsia="en-US"/>
        </w:rPr>
        <w:t xml:space="preserve">Por su parte, el </w:t>
      </w:r>
      <w:r w:rsidRPr="00F0074A">
        <w:rPr>
          <w:rFonts w:eastAsia="Batang"/>
          <w:b/>
          <w:i/>
          <w:lang w:eastAsia="en-US"/>
        </w:rPr>
        <w:t>Estado</w:t>
      </w:r>
      <w:r w:rsidRPr="00F0074A">
        <w:rPr>
          <w:rFonts w:eastAsia="Batang"/>
          <w:lang w:eastAsia="en-US"/>
        </w:rPr>
        <w:t xml:space="preserve"> aleg</w:t>
      </w:r>
      <w:r w:rsidR="00752167" w:rsidRPr="00F0074A">
        <w:rPr>
          <w:rFonts w:eastAsia="Batang"/>
          <w:lang w:eastAsia="en-US"/>
        </w:rPr>
        <w:t>ó</w:t>
      </w:r>
      <w:r w:rsidRPr="00F0074A">
        <w:rPr>
          <w:rFonts w:eastAsia="Batang"/>
          <w:lang w:eastAsia="en-US"/>
        </w:rPr>
        <w:t xml:space="preserve"> que la actividad procesal desplegada por el señor Jenkins en el marco del proceso por los daños y perjuicios instado contra el Estado </w:t>
      </w:r>
      <w:r w:rsidR="00752167" w:rsidRPr="00F0074A">
        <w:rPr>
          <w:rFonts w:eastAsia="Batang"/>
          <w:lang w:eastAsia="en-US"/>
        </w:rPr>
        <w:t>incidió</w:t>
      </w:r>
      <w:r w:rsidRPr="00F0074A">
        <w:rPr>
          <w:rFonts w:eastAsia="Batang"/>
          <w:lang w:eastAsia="en-US"/>
        </w:rPr>
        <w:t xml:space="preserve"> de manera determinante en la</w:t>
      </w:r>
      <w:r w:rsidR="0094111B" w:rsidRPr="00F0074A">
        <w:rPr>
          <w:rFonts w:eastAsia="Batang"/>
          <w:lang w:eastAsia="en-US"/>
        </w:rPr>
        <w:t xml:space="preserve"> duración del proceso judicial y, en particular hizo referencia a la interposición de recursos que, según el Estado, se encontraban condenados a la desestimación de ma</w:t>
      </w:r>
      <w:r w:rsidR="004658E1">
        <w:rPr>
          <w:rFonts w:eastAsia="Batang"/>
          <w:lang w:eastAsia="en-US"/>
        </w:rPr>
        <w:t>nera manifiesta desde su origen.</w:t>
      </w:r>
    </w:p>
    <w:p w14:paraId="11B1B462" w14:textId="77777777" w:rsidR="0094111B" w:rsidRPr="00F0074A" w:rsidRDefault="0094111B" w:rsidP="0094111B">
      <w:pPr>
        <w:tabs>
          <w:tab w:val="left" w:pos="567"/>
        </w:tabs>
        <w:spacing w:line="240" w:lineRule="auto"/>
        <w:rPr>
          <w:rFonts w:eastAsia="Batang"/>
          <w:lang w:eastAsia="en-US"/>
        </w:rPr>
      </w:pPr>
    </w:p>
    <w:p w14:paraId="6961C0A2" w14:textId="05693F58" w:rsidR="00D845E3" w:rsidRPr="00A94869" w:rsidRDefault="00D845E3" w:rsidP="00A94869">
      <w:pPr>
        <w:numPr>
          <w:ilvl w:val="0"/>
          <w:numId w:val="11"/>
        </w:numPr>
        <w:tabs>
          <w:tab w:val="left" w:pos="567"/>
          <w:tab w:val="num" w:pos="1569"/>
          <w:tab w:val="num" w:pos="12305"/>
        </w:tabs>
        <w:spacing w:line="240" w:lineRule="auto"/>
        <w:ind w:left="0" w:firstLine="0"/>
        <w:rPr>
          <w:rFonts w:eastAsia="Batang"/>
          <w:lang w:eastAsia="en-US"/>
        </w:rPr>
      </w:pPr>
      <w:r w:rsidRPr="00F0074A">
        <w:rPr>
          <w:rFonts w:eastAsia="Batang"/>
          <w:lang w:eastAsia="en-US"/>
        </w:rPr>
        <w:t xml:space="preserve">Asimismo, </w:t>
      </w:r>
      <w:r w:rsidR="00752167" w:rsidRPr="00F0074A">
        <w:rPr>
          <w:rFonts w:eastAsia="Batang"/>
          <w:lang w:eastAsia="en-US"/>
        </w:rPr>
        <w:t>refirió</w:t>
      </w:r>
      <w:r w:rsidRPr="00F0074A">
        <w:rPr>
          <w:rFonts w:eastAsia="Batang"/>
          <w:lang w:eastAsia="en-US"/>
        </w:rPr>
        <w:t xml:space="preserve"> que la Comisión </w:t>
      </w:r>
      <w:r w:rsidR="00F63340">
        <w:rPr>
          <w:rFonts w:eastAsia="Batang"/>
          <w:lang w:eastAsia="en-US"/>
        </w:rPr>
        <w:t>analizó</w:t>
      </w:r>
      <w:r w:rsidRPr="00F0074A">
        <w:rPr>
          <w:rFonts w:eastAsia="Batang"/>
          <w:lang w:eastAsia="en-US"/>
        </w:rPr>
        <w:t xml:space="preserve"> el plazo de la tramitación total de la causa sin tomar en cuenta el resto de los parámetros establecidos por la jurisprudencia de la Corte, esto es, </w:t>
      </w:r>
      <w:r w:rsidR="00A94869">
        <w:rPr>
          <w:rFonts w:eastAsia="Batang"/>
          <w:lang w:eastAsia="en-US"/>
        </w:rPr>
        <w:t>“</w:t>
      </w:r>
      <w:r w:rsidRPr="00F0074A">
        <w:rPr>
          <w:rFonts w:eastAsia="Batang"/>
          <w:lang w:eastAsia="en-US"/>
        </w:rPr>
        <w:t xml:space="preserve">la complejidad del asunto, la actividad procesal del interesado, la conducta de las autoridades judiciales y la afectación generada en la situación </w:t>
      </w:r>
      <w:r w:rsidR="00A94869">
        <w:rPr>
          <w:rFonts w:eastAsia="Batang"/>
          <w:lang w:eastAsia="en-US"/>
        </w:rPr>
        <w:t xml:space="preserve">de la </w:t>
      </w:r>
      <w:r w:rsidRPr="00A94869">
        <w:rPr>
          <w:rFonts w:eastAsia="Batang"/>
          <w:lang w:eastAsia="en-US"/>
        </w:rPr>
        <w:t>persona involucrada en el proceso</w:t>
      </w:r>
      <w:r w:rsidR="00A94869" w:rsidRPr="00A94869">
        <w:rPr>
          <w:rFonts w:eastAsia="Batang"/>
          <w:lang w:eastAsia="en-US"/>
        </w:rPr>
        <w:t>”</w:t>
      </w:r>
      <w:r w:rsidRPr="00A94869">
        <w:rPr>
          <w:rFonts w:eastAsia="Batang"/>
          <w:lang w:eastAsia="en-US"/>
        </w:rPr>
        <w:t xml:space="preserve">. </w:t>
      </w:r>
      <w:r w:rsidR="00752167" w:rsidRPr="00A94869">
        <w:rPr>
          <w:rFonts w:eastAsia="Batang"/>
          <w:lang w:eastAsia="en-US"/>
        </w:rPr>
        <w:t>Argumentó que, según su ordenamiento interno</w:t>
      </w:r>
      <w:r w:rsidRPr="00A94869">
        <w:rPr>
          <w:rFonts w:eastAsia="Batang"/>
          <w:lang w:eastAsia="en-US"/>
        </w:rPr>
        <w:t xml:space="preserve">, las causas civiles, a </w:t>
      </w:r>
      <w:r w:rsidRPr="00A94869">
        <w:rPr>
          <w:rFonts w:eastAsia="Batang"/>
          <w:i/>
          <w:lang w:eastAsia="en-US"/>
        </w:rPr>
        <w:t>contrario sensu</w:t>
      </w:r>
      <w:r w:rsidRPr="00A94869">
        <w:rPr>
          <w:rFonts w:eastAsia="Batang"/>
          <w:lang w:eastAsia="en-US"/>
        </w:rPr>
        <w:t xml:space="preserve"> de las causales criminales que deben ser instruidas de oficio, dependen pura y </w:t>
      </w:r>
      <w:r w:rsidRPr="00F0074A">
        <w:t>exclusivamente</w:t>
      </w:r>
      <w:r w:rsidRPr="00A94869">
        <w:rPr>
          <w:rFonts w:eastAsia="Batang"/>
          <w:lang w:eastAsia="en-US"/>
        </w:rPr>
        <w:t xml:space="preserve"> del impulso d</w:t>
      </w:r>
      <w:r w:rsidR="00752167" w:rsidRPr="00A94869">
        <w:rPr>
          <w:rFonts w:eastAsia="Batang"/>
          <w:lang w:eastAsia="en-US"/>
        </w:rPr>
        <w:t xml:space="preserve">el proceso por parte del actor y, por tanto, </w:t>
      </w:r>
      <w:r w:rsidRPr="00A94869">
        <w:rPr>
          <w:rFonts w:eastAsia="Batang"/>
          <w:lang w:eastAsia="en-US"/>
        </w:rPr>
        <w:t>si el proceso tuvo una duración extensa fue por la conducta procesal negligente del señor Jenkins.</w:t>
      </w:r>
      <w:r w:rsidR="00A061CF" w:rsidRPr="00A94869">
        <w:rPr>
          <w:rFonts w:eastAsia="Batang"/>
          <w:lang w:eastAsia="en-US"/>
        </w:rPr>
        <w:t xml:space="preserve"> </w:t>
      </w:r>
    </w:p>
    <w:p w14:paraId="6627E70F" w14:textId="7FFDF472" w:rsidR="00A905F0" w:rsidRPr="00F0074A" w:rsidRDefault="0087580C" w:rsidP="00E06F63">
      <w:pPr>
        <w:pStyle w:val="Ttulo2"/>
      </w:pPr>
      <w:bookmarkStart w:id="78" w:name="_Toc27405437"/>
      <w:r w:rsidRPr="00F0074A">
        <w:t>B.</w:t>
      </w:r>
      <w:r w:rsidRPr="00F0074A">
        <w:tab/>
      </w:r>
      <w:r w:rsidR="00390E2D">
        <w:t xml:space="preserve"> </w:t>
      </w:r>
      <w:r w:rsidRPr="00F0074A">
        <w:t>Consideraciones de la Corte</w:t>
      </w:r>
      <w:bookmarkEnd w:id="78"/>
    </w:p>
    <w:p w14:paraId="23D80CFB" w14:textId="31AFD3B5" w:rsidR="00D845E3" w:rsidRPr="00F0074A" w:rsidRDefault="00752167" w:rsidP="004E7EAA">
      <w:pPr>
        <w:widowControl/>
        <w:numPr>
          <w:ilvl w:val="0"/>
          <w:numId w:val="11"/>
        </w:numPr>
        <w:tabs>
          <w:tab w:val="left" w:pos="567"/>
          <w:tab w:val="left" w:pos="720"/>
        </w:tabs>
        <w:adjustRightInd/>
        <w:spacing w:line="240" w:lineRule="auto"/>
        <w:ind w:left="0" w:firstLine="0"/>
        <w:textAlignment w:val="auto"/>
        <w:rPr>
          <w:rFonts w:eastAsia="Batang"/>
        </w:rPr>
      </w:pPr>
      <w:r w:rsidRPr="00F0074A">
        <w:rPr>
          <w:rFonts w:eastAsia="Verdana" w:cs="Cambria"/>
          <w:bCs/>
          <w:color w:val="000000"/>
          <w:lang w:eastAsia="x-none"/>
        </w:rPr>
        <w:t>La Corte</w:t>
      </w:r>
      <w:r w:rsidRPr="00F0074A">
        <w:rPr>
          <w:rFonts w:eastAsia="Verdana" w:cs="Cambria"/>
          <w:b/>
          <w:bCs/>
          <w:color w:val="000000"/>
          <w:lang w:eastAsia="x-none"/>
        </w:rPr>
        <w:t xml:space="preserve"> </w:t>
      </w:r>
      <w:r w:rsidRPr="00F0074A">
        <w:rPr>
          <w:rFonts w:eastAsia="Batang"/>
          <w:lang w:val="es-ES" w:eastAsia="es-MX"/>
        </w:rPr>
        <w:t xml:space="preserve">ha </w:t>
      </w:r>
      <w:r w:rsidRPr="00F0074A">
        <w:rPr>
          <w:rFonts w:eastAsia="Batang" w:cs="Arial"/>
          <w:lang w:val="es-ES" w:eastAsia="es-MX"/>
        </w:rPr>
        <w:t>considerado</w:t>
      </w:r>
      <w:r w:rsidRPr="00F0074A">
        <w:rPr>
          <w:lang w:val="es-ES" w:eastAsia="es-MX"/>
        </w:rPr>
        <w:t xml:space="preserve"> en su jurisprudencia constante </w:t>
      </w:r>
      <w:r w:rsidRPr="00F0074A">
        <w:rPr>
          <w:rFonts w:eastAsia="Batang"/>
          <w:lang w:val="es-ES" w:eastAsia="es-MX"/>
        </w:rPr>
        <w:t xml:space="preserve">que una demora prolongada </w:t>
      </w:r>
      <w:r w:rsidRPr="00F0074A">
        <w:rPr>
          <w:lang w:val="es-ES" w:eastAsia="es-MX"/>
        </w:rPr>
        <w:t xml:space="preserve">en el proceso </w:t>
      </w:r>
      <w:r w:rsidRPr="00F0074A">
        <w:rPr>
          <w:rFonts w:eastAsia="Batang"/>
          <w:lang w:val="es-ES" w:eastAsia="es-MX"/>
        </w:rPr>
        <w:t>puede llegar a constituir, por sí misma, una violación a las garantías judiciales</w:t>
      </w:r>
      <w:r w:rsidRPr="00F0074A">
        <w:rPr>
          <w:rFonts w:eastAsia="Batang" w:cs="Verdana"/>
          <w:vertAlign w:val="superscript"/>
          <w:lang w:val="es-ES" w:eastAsia="es-MX"/>
        </w:rPr>
        <w:footnoteReference w:id="105"/>
      </w:r>
      <w:r w:rsidRPr="00F0074A">
        <w:rPr>
          <w:rFonts w:eastAsia="Batang"/>
          <w:lang w:val="es-ES" w:eastAsia="es-MX"/>
        </w:rPr>
        <w:t xml:space="preserve">. </w:t>
      </w:r>
      <w:r w:rsidRPr="00F0074A">
        <w:rPr>
          <w:rFonts w:cs="Verdana"/>
          <w:bCs/>
          <w:iCs/>
        </w:rPr>
        <w:t xml:space="preserve">El Tribunal ha establecido que la evaluación del plazo razonable se debe analizar en cada caso concreto, en relación con la duración total del proceso, lo cual podría también incluir la ejecución de la sentencia definitiva. De esta manera, ha considerado cuatro elementos para analizar si se cumplió con la garantía del plazo razonable, a saber: </w:t>
      </w:r>
      <w:r w:rsidR="00793E88">
        <w:rPr>
          <w:rFonts w:cs="Verdana"/>
          <w:bCs/>
          <w:iCs/>
        </w:rPr>
        <w:t>(</w:t>
      </w:r>
      <w:r w:rsidRPr="00F0074A">
        <w:rPr>
          <w:rFonts w:cs="Verdana"/>
          <w:bCs/>
          <w:iCs/>
        </w:rPr>
        <w:t xml:space="preserve">i) la complejidad del asunto, </w:t>
      </w:r>
      <w:r w:rsidR="00793E88">
        <w:rPr>
          <w:rFonts w:cs="Verdana"/>
          <w:bCs/>
          <w:iCs/>
        </w:rPr>
        <w:t>(</w:t>
      </w:r>
      <w:r w:rsidRPr="00F0074A">
        <w:rPr>
          <w:rFonts w:cs="Verdana"/>
          <w:bCs/>
          <w:iCs/>
        </w:rPr>
        <w:t xml:space="preserve">ii) la actividad procesal del interesado, </w:t>
      </w:r>
      <w:r w:rsidR="00793E88">
        <w:rPr>
          <w:rFonts w:cs="Verdana"/>
          <w:bCs/>
          <w:iCs/>
        </w:rPr>
        <w:t>(</w:t>
      </w:r>
      <w:r w:rsidRPr="00F0074A">
        <w:rPr>
          <w:rFonts w:cs="Verdana"/>
          <w:bCs/>
          <w:iCs/>
        </w:rPr>
        <w:t xml:space="preserve">iii) la conducta de las autoridades judiciales, y </w:t>
      </w:r>
      <w:r w:rsidR="00793E88">
        <w:rPr>
          <w:rFonts w:cs="Verdana"/>
          <w:bCs/>
          <w:iCs/>
        </w:rPr>
        <w:t>(</w:t>
      </w:r>
      <w:r w:rsidRPr="00F0074A">
        <w:rPr>
          <w:rFonts w:cs="Verdana"/>
          <w:bCs/>
          <w:iCs/>
        </w:rPr>
        <w:t xml:space="preserve">iv) la afectación generada en la situación jurídica de la </w:t>
      </w:r>
      <w:r w:rsidR="00D406E3" w:rsidRPr="004658E1">
        <w:rPr>
          <w:rFonts w:cs="Verdana"/>
          <w:bCs/>
          <w:iCs/>
        </w:rPr>
        <w:t>presunta víctima</w:t>
      </w:r>
      <w:r w:rsidRPr="00F0074A">
        <w:rPr>
          <w:rFonts w:cs="Verdana"/>
          <w:bCs/>
          <w:iCs/>
        </w:rPr>
        <w:t>. La Corte recuerda que corresponde al Estado justificar, con fundamento en los criterios señalados, la razón por la cual ha requerido del tiempo transcurrido para tratar los casos y, en la eventualidad de que éste no lo demuestre, la Corte tiene amplias atribuciones para hacer su propia estimación al respecto</w:t>
      </w:r>
      <w:r w:rsidRPr="00F0074A">
        <w:rPr>
          <w:rFonts w:cs="Verdana"/>
          <w:bCs/>
          <w:iCs/>
          <w:vertAlign w:val="superscript"/>
        </w:rPr>
        <w:footnoteReference w:id="106"/>
      </w:r>
      <w:r w:rsidRPr="00F0074A">
        <w:rPr>
          <w:rFonts w:cs="Verdana"/>
          <w:bCs/>
          <w:iCs/>
        </w:rPr>
        <w:t>.</w:t>
      </w:r>
      <w:r w:rsidRPr="00F0074A">
        <w:rPr>
          <w:rFonts w:cs="Verdana"/>
          <w:bCs/>
          <w:i/>
          <w:iCs/>
        </w:rPr>
        <w:t xml:space="preserve"> </w:t>
      </w:r>
      <w:r w:rsidRPr="00F0074A">
        <w:rPr>
          <w:rFonts w:eastAsia="Batang"/>
          <w:lang w:val="es-ES" w:eastAsia="es-MX"/>
        </w:rPr>
        <w:t>L</w:t>
      </w:r>
      <w:r w:rsidR="00D845E3" w:rsidRPr="00F0074A">
        <w:rPr>
          <w:rFonts w:eastAsia="Batang"/>
        </w:rPr>
        <w:t xml:space="preserve">a Corte </w:t>
      </w:r>
      <w:r w:rsidR="0042064C" w:rsidRPr="00F0074A">
        <w:rPr>
          <w:rFonts w:eastAsia="Batang"/>
        </w:rPr>
        <w:t>además reitera</w:t>
      </w:r>
      <w:r w:rsidR="00D845E3" w:rsidRPr="00F0074A">
        <w:rPr>
          <w:rFonts w:eastAsia="Batang"/>
        </w:rPr>
        <w:t xml:space="preserve"> que </w:t>
      </w:r>
      <w:r w:rsidR="00D845E3" w:rsidRPr="00F0074A">
        <w:rPr>
          <w:lang w:bidi="en-US"/>
        </w:rPr>
        <w:t xml:space="preserve">se debe apreciar la duración total del proceso, desde el </w:t>
      </w:r>
      <w:r w:rsidR="00D845E3" w:rsidRPr="00F0074A">
        <w:rPr>
          <w:rFonts w:eastAsia="Batang"/>
          <w:lang w:eastAsia="en-US"/>
        </w:rPr>
        <w:t>primer</w:t>
      </w:r>
      <w:r w:rsidR="00D845E3" w:rsidRPr="00F0074A">
        <w:rPr>
          <w:lang w:bidi="en-US"/>
        </w:rPr>
        <w:t xml:space="preserve"> acto procesal hasta que se dicte sentencia definitiva, incluyendo los recursos de instancia que pudieran eventualmente presentarse</w:t>
      </w:r>
      <w:r w:rsidR="00D845E3" w:rsidRPr="00F0074A">
        <w:rPr>
          <w:rStyle w:val="Refdenotaalpie"/>
          <w:lang w:bidi="en-US"/>
        </w:rPr>
        <w:footnoteReference w:id="107"/>
      </w:r>
      <w:r w:rsidR="0042064C" w:rsidRPr="00F0074A">
        <w:rPr>
          <w:lang w:bidi="en-US"/>
        </w:rPr>
        <w:t>.</w:t>
      </w:r>
    </w:p>
    <w:p w14:paraId="3276CD8E" w14:textId="77777777" w:rsidR="0042064C" w:rsidRPr="00F0074A" w:rsidRDefault="0042064C" w:rsidP="0042064C">
      <w:pPr>
        <w:widowControl/>
        <w:tabs>
          <w:tab w:val="left" w:pos="567"/>
          <w:tab w:val="left" w:pos="720"/>
        </w:tabs>
        <w:adjustRightInd/>
        <w:spacing w:line="240" w:lineRule="auto"/>
        <w:textAlignment w:val="auto"/>
        <w:rPr>
          <w:rFonts w:eastAsia="Batang"/>
        </w:rPr>
      </w:pPr>
    </w:p>
    <w:p w14:paraId="12B8884C" w14:textId="5B011D32" w:rsidR="00D845E3" w:rsidRPr="00F0074A" w:rsidRDefault="0042064C" w:rsidP="002343C9">
      <w:pPr>
        <w:numPr>
          <w:ilvl w:val="0"/>
          <w:numId w:val="11"/>
        </w:numPr>
        <w:tabs>
          <w:tab w:val="left" w:pos="567"/>
          <w:tab w:val="num" w:pos="1569"/>
          <w:tab w:val="num" w:pos="12305"/>
        </w:tabs>
        <w:spacing w:line="240" w:lineRule="auto"/>
        <w:ind w:left="0" w:firstLine="0"/>
        <w:rPr>
          <w:b/>
          <w:lang w:bidi="en-US"/>
        </w:rPr>
      </w:pPr>
      <w:r w:rsidRPr="00F0074A">
        <w:rPr>
          <w:lang w:bidi="en-US"/>
        </w:rPr>
        <w:t>Según el acervo probatorio que consta en el presente caso</w:t>
      </w:r>
      <w:r w:rsidR="00D845E3" w:rsidRPr="00F0074A">
        <w:rPr>
          <w:lang w:bidi="en-US"/>
        </w:rPr>
        <w:t>, el 27 de diciembre de 1999</w:t>
      </w:r>
      <w:r w:rsidRPr="00F0074A">
        <w:rPr>
          <w:lang w:bidi="en-US"/>
        </w:rPr>
        <w:t xml:space="preserve"> el señor Jenkins </w:t>
      </w:r>
      <w:r w:rsidR="00D845E3" w:rsidRPr="00F0074A">
        <w:rPr>
          <w:lang w:bidi="en-US"/>
        </w:rPr>
        <w:t xml:space="preserve">presentó </w:t>
      </w:r>
      <w:r w:rsidRPr="00F0074A">
        <w:rPr>
          <w:lang w:bidi="en-US"/>
        </w:rPr>
        <w:t xml:space="preserve">una </w:t>
      </w:r>
      <w:r w:rsidR="00D845E3" w:rsidRPr="00F0074A">
        <w:rPr>
          <w:lang w:bidi="en-US"/>
        </w:rPr>
        <w:t xml:space="preserve">demanda de daños y perjuicios en contra del Estado y </w:t>
      </w:r>
      <w:r w:rsidR="006056B1" w:rsidRPr="00F0074A">
        <w:rPr>
          <w:lang w:bidi="en-US"/>
        </w:rPr>
        <w:t>contra</w:t>
      </w:r>
      <w:r w:rsidR="00D845E3" w:rsidRPr="00F0074A">
        <w:rPr>
          <w:lang w:bidi="en-US"/>
        </w:rPr>
        <w:t xml:space="preserve"> </w:t>
      </w:r>
      <w:r w:rsidRPr="00F0074A">
        <w:rPr>
          <w:lang w:bidi="en-US"/>
        </w:rPr>
        <w:t>J.J.G.</w:t>
      </w:r>
      <w:r w:rsidR="00D845E3" w:rsidRPr="00F0074A">
        <w:rPr>
          <w:lang w:bidi="en-US"/>
        </w:rPr>
        <w:t xml:space="preserve">, titular del Juzgado Nacional en lo Criminal y Correccional Federal </w:t>
      </w:r>
      <w:r w:rsidR="00597F47">
        <w:rPr>
          <w:lang w:bidi="en-US"/>
        </w:rPr>
        <w:t>No.</w:t>
      </w:r>
      <w:r w:rsidR="00D845E3" w:rsidRPr="00F0074A">
        <w:rPr>
          <w:lang w:bidi="en-US"/>
        </w:rPr>
        <w:t xml:space="preserve"> 9</w:t>
      </w:r>
      <w:r w:rsidRPr="00F0074A">
        <w:rPr>
          <w:lang w:bidi="en-US"/>
        </w:rPr>
        <w:t xml:space="preserve">, </w:t>
      </w:r>
      <w:r w:rsidR="00D845E3" w:rsidRPr="00F0074A">
        <w:rPr>
          <w:lang w:bidi="en-US"/>
        </w:rPr>
        <w:t>acto con el que dio inicio el proceso ante el Juzgado Federal en lo Conte</w:t>
      </w:r>
      <w:r w:rsidRPr="00F0074A">
        <w:rPr>
          <w:lang w:bidi="en-US"/>
        </w:rPr>
        <w:t xml:space="preserve">ncioso Administrativo </w:t>
      </w:r>
      <w:r w:rsidR="00597F47">
        <w:rPr>
          <w:lang w:bidi="en-US"/>
        </w:rPr>
        <w:t>No.</w:t>
      </w:r>
      <w:r w:rsidRPr="00F0074A">
        <w:rPr>
          <w:lang w:bidi="en-US"/>
        </w:rPr>
        <w:t xml:space="preserve"> 10</w:t>
      </w:r>
      <w:r w:rsidR="002343C9" w:rsidRPr="00F0074A">
        <w:rPr>
          <w:rStyle w:val="Refdenotaalpie"/>
          <w:rFonts w:eastAsiaTheme="minorHAnsi"/>
          <w:lang w:eastAsia="en-US"/>
        </w:rPr>
        <w:footnoteReference w:id="108"/>
      </w:r>
      <w:r w:rsidRPr="00F0074A">
        <w:rPr>
          <w:lang w:bidi="en-US"/>
        </w:rPr>
        <w:t>. El 8 de junio de 2000 dicho Juzgado</w:t>
      </w:r>
      <w:r w:rsidR="00D845E3" w:rsidRPr="00F0074A">
        <w:rPr>
          <w:lang w:bidi="en-US"/>
        </w:rPr>
        <w:t xml:space="preserve"> rechazó par</w:t>
      </w:r>
      <w:r w:rsidRPr="00F0074A">
        <w:rPr>
          <w:lang w:bidi="en-US"/>
        </w:rPr>
        <w:t>cialmente la acción intentada</w:t>
      </w:r>
      <w:r w:rsidR="00D845E3" w:rsidRPr="00F0074A">
        <w:rPr>
          <w:lang w:bidi="en-US"/>
        </w:rPr>
        <w:t xml:space="preserve"> al </w:t>
      </w:r>
      <w:r w:rsidRPr="00F0074A">
        <w:rPr>
          <w:lang w:bidi="en-US"/>
        </w:rPr>
        <w:t>admitirse</w:t>
      </w:r>
      <w:r w:rsidR="00D845E3" w:rsidRPr="00F0074A">
        <w:rPr>
          <w:lang w:bidi="en-US"/>
        </w:rPr>
        <w:t xml:space="preserve"> la excepción de falta de legitimación pasiva interpuesta </w:t>
      </w:r>
      <w:r w:rsidRPr="00F0074A">
        <w:rPr>
          <w:lang w:bidi="en-US"/>
        </w:rPr>
        <w:t>contra J.J.G. -</w:t>
      </w:r>
      <w:r w:rsidR="00D845E3" w:rsidRPr="00F0074A">
        <w:rPr>
          <w:lang w:bidi="en-US"/>
        </w:rPr>
        <w:t>bajo el argumento de no haber solicitado previamente su desafuero</w:t>
      </w:r>
      <w:r w:rsidRPr="00F0074A">
        <w:rPr>
          <w:lang w:bidi="en-US"/>
        </w:rPr>
        <w:t>-</w:t>
      </w:r>
      <w:r w:rsidR="00D845E3" w:rsidRPr="00F0074A">
        <w:rPr>
          <w:lang w:bidi="en-US"/>
        </w:rPr>
        <w:t xml:space="preserve">, </w:t>
      </w:r>
      <w:r w:rsidRPr="00F0074A">
        <w:rPr>
          <w:lang w:bidi="en-US"/>
        </w:rPr>
        <w:t>y acordó continuar el proceso</w:t>
      </w:r>
      <w:r w:rsidR="00D845E3" w:rsidRPr="00F0074A">
        <w:rPr>
          <w:lang w:bidi="en-US"/>
        </w:rPr>
        <w:t xml:space="preserve"> únicamente en contra </w:t>
      </w:r>
      <w:r w:rsidRPr="00F0074A">
        <w:rPr>
          <w:lang w:bidi="en-US"/>
        </w:rPr>
        <w:t>del Estado</w:t>
      </w:r>
      <w:r w:rsidR="002343C9" w:rsidRPr="00F0074A">
        <w:rPr>
          <w:rStyle w:val="Refdenotaalpie"/>
          <w:rFonts w:eastAsiaTheme="minorHAnsi"/>
          <w:lang w:eastAsia="en-US"/>
        </w:rPr>
        <w:footnoteReference w:id="109"/>
      </w:r>
      <w:r w:rsidRPr="00F0074A">
        <w:rPr>
          <w:lang w:bidi="en-US"/>
        </w:rPr>
        <w:t>. El 30 de abril de 2007 el</w:t>
      </w:r>
      <w:r w:rsidR="001A3D54">
        <w:rPr>
          <w:lang w:bidi="en-US"/>
        </w:rPr>
        <w:t xml:space="preserve"> </w:t>
      </w:r>
      <w:r w:rsidRPr="00F0074A">
        <w:rPr>
          <w:lang w:bidi="en-US"/>
        </w:rPr>
        <w:t>Juzgado Nacional en lo Criminal y Correccional Federal número 9 desestimó la pretensión del demandante</w:t>
      </w:r>
      <w:r w:rsidR="002343C9" w:rsidRPr="00F0074A">
        <w:rPr>
          <w:rStyle w:val="Refdenotaalpie"/>
          <w:rFonts w:eastAsiaTheme="minorHAnsi"/>
          <w:lang w:eastAsia="en-US"/>
        </w:rPr>
        <w:footnoteReference w:id="110"/>
      </w:r>
      <w:r w:rsidRPr="00F0074A">
        <w:rPr>
          <w:lang w:bidi="en-US"/>
        </w:rPr>
        <w:t xml:space="preserve">. </w:t>
      </w:r>
    </w:p>
    <w:p w14:paraId="4C517891" w14:textId="77777777" w:rsidR="002343C9" w:rsidRPr="00F0074A" w:rsidRDefault="002343C9" w:rsidP="002343C9">
      <w:pPr>
        <w:tabs>
          <w:tab w:val="left" w:pos="567"/>
          <w:tab w:val="num" w:pos="12305"/>
        </w:tabs>
        <w:spacing w:line="240" w:lineRule="auto"/>
        <w:rPr>
          <w:b/>
          <w:lang w:bidi="en-US"/>
        </w:rPr>
      </w:pPr>
    </w:p>
    <w:p w14:paraId="6C8B2BEA" w14:textId="27A9CAD3" w:rsidR="00B02558" w:rsidRPr="00F0074A" w:rsidRDefault="00B02558" w:rsidP="004E7EAA">
      <w:pPr>
        <w:numPr>
          <w:ilvl w:val="0"/>
          <w:numId w:val="11"/>
        </w:numPr>
        <w:tabs>
          <w:tab w:val="left" w:pos="567"/>
          <w:tab w:val="num" w:pos="1569"/>
          <w:tab w:val="num" w:pos="12305"/>
        </w:tabs>
        <w:spacing w:line="240" w:lineRule="auto"/>
        <w:ind w:left="0" w:firstLine="0"/>
        <w:rPr>
          <w:lang w:bidi="en-US"/>
        </w:rPr>
      </w:pPr>
      <w:r w:rsidRPr="00F0074A">
        <w:rPr>
          <w:lang w:bidi="en-US"/>
        </w:rPr>
        <w:t>El señor Jenkins apeló la referida</w:t>
      </w:r>
      <w:r w:rsidR="00D845E3" w:rsidRPr="00F0074A">
        <w:rPr>
          <w:lang w:bidi="en-US"/>
        </w:rPr>
        <w:t xml:space="preserve"> resolución ante la Sala III de la Cámara Nacional de Apelaciones en lo </w:t>
      </w:r>
      <w:r w:rsidR="00D845E3" w:rsidRPr="00F0074A">
        <w:rPr>
          <w:rFonts w:eastAsia="Batang"/>
          <w:lang w:eastAsia="en-US"/>
        </w:rPr>
        <w:t>Contencioso</w:t>
      </w:r>
      <w:r w:rsidRPr="00F0074A">
        <w:rPr>
          <w:lang w:bidi="en-US"/>
        </w:rPr>
        <w:t xml:space="preserve"> Administrativo Federal, la cual </w:t>
      </w:r>
      <w:r w:rsidR="00D845E3" w:rsidRPr="00F0074A">
        <w:rPr>
          <w:lang w:bidi="en-US"/>
        </w:rPr>
        <w:t xml:space="preserve">el 25 de marzo de 2008, </w:t>
      </w:r>
      <w:r w:rsidRPr="00F0074A">
        <w:rPr>
          <w:lang w:bidi="en-US"/>
        </w:rPr>
        <w:t>resolvió y</w:t>
      </w:r>
      <w:r w:rsidR="001A3D54">
        <w:rPr>
          <w:lang w:bidi="en-US"/>
        </w:rPr>
        <w:t xml:space="preserve"> </w:t>
      </w:r>
      <w:r w:rsidR="00D845E3" w:rsidRPr="00F0074A">
        <w:rPr>
          <w:lang w:bidi="en-US"/>
        </w:rPr>
        <w:t>confirm</w:t>
      </w:r>
      <w:r w:rsidRPr="00F0074A">
        <w:rPr>
          <w:lang w:bidi="en-US"/>
        </w:rPr>
        <w:t>ó</w:t>
      </w:r>
      <w:r w:rsidR="00D845E3" w:rsidRPr="00F0074A">
        <w:rPr>
          <w:lang w:bidi="en-US"/>
        </w:rPr>
        <w:t xml:space="preserve"> la resolución de primera instancia, bajo la consideración de falta de mínima fundamentación de los agravios y que la absolución no obedeció </w:t>
      </w:r>
      <w:r w:rsidR="007C5F06" w:rsidRPr="00F0074A">
        <w:rPr>
          <w:lang w:bidi="en-US"/>
        </w:rPr>
        <w:t>a la inocencia manifiesta, sino</w:t>
      </w:r>
      <w:r w:rsidR="00D845E3" w:rsidRPr="00F0074A">
        <w:rPr>
          <w:lang w:bidi="en-US"/>
        </w:rPr>
        <w:t xml:space="preserve"> a la insuficiencia de elementos probatorios</w:t>
      </w:r>
      <w:r w:rsidR="002343C9" w:rsidRPr="00F0074A">
        <w:rPr>
          <w:rStyle w:val="Refdenotaalpie"/>
          <w:rFonts w:eastAsiaTheme="minorHAnsi"/>
          <w:lang w:eastAsia="en-US"/>
        </w:rPr>
        <w:footnoteReference w:id="111"/>
      </w:r>
      <w:r w:rsidR="00D845E3" w:rsidRPr="00F0074A">
        <w:rPr>
          <w:lang w:bidi="en-US"/>
        </w:rPr>
        <w:t>.</w:t>
      </w:r>
    </w:p>
    <w:p w14:paraId="322096A9" w14:textId="51ADF27F" w:rsidR="00D845E3" w:rsidRPr="00F0074A" w:rsidRDefault="00D845E3" w:rsidP="00B02558">
      <w:pPr>
        <w:tabs>
          <w:tab w:val="left" w:pos="567"/>
          <w:tab w:val="num" w:pos="12305"/>
        </w:tabs>
        <w:spacing w:line="240" w:lineRule="auto"/>
        <w:rPr>
          <w:lang w:bidi="en-US"/>
        </w:rPr>
      </w:pPr>
    </w:p>
    <w:p w14:paraId="2740A58A" w14:textId="5F981C8B" w:rsidR="00531FA1" w:rsidRPr="00F0074A" w:rsidRDefault="00531FA1" w:rsidP="00531FA1">
      <w:pPr>
        <w:widowControl/>
        <w:numPr>
          <w:ilvl w:val="0"/>
          <w:numId w:val="11"/>
        </w:numPr>
        <w:tabs>
          <w:tab w:val="left" w:pos="567"/>
          <w:tab w:val="left" w:pos="720"/>
        </w:tabs>
        <w:adjustRightInd/>
        <w:spacing w:line="240" w:lineRule="auto"/>
        <w:ind w:left="0" w:firstLine="0"/>
        <w:textAlignment w:val="auto"/>
        <w:rPr>
          <w:rFonts w:eastAsia="Batang"/>
        </w:rPr>
      </w:pPr>
      <w:r w:rsidRPr="00F0074A">
        <w:rPr>
          <w:lang w:bidi="en-US"/>
        </w:rPr>
        <w:t>A la vista de lo anterior, el análisis del presente apartado se centrará en evaluar el plazo transcurrido entre el 27 de diciembre de 1999, momento de la interposición de la demanda por daños y perjuicios hasta el 25 de marzo de 200</w:t>
      </w:r>
      <w:r w:rsidR="00D30FDB">
        <w:rPr>
          <w:lang w:bidi="en-US"/>
        </w:rPr>
        <w:t>8</w:t>
      </w:r>
      <w:r w:rsidRPr="00F0074A">
        <w:rPr>
          <w:lang w:bidi="en-US"/>
        </w:rPr>
        <w:t>, fecha de la sentencia firme dictada en apelación por la Sala III de la Cámara Nacional de Apelaciones en lo Contencioso Administrativo Federal.</w:t>
      </w:r>
    </w:p>
    <w:p w14:paraId="761B784B" w14:textId="726AD874" w:rsidR="006056B1" w:rsidRPr="00F0074A" w:rsidRDefault="006056B1" w:rsidP="006056B1">
      <w:pPr>
        <w:pStyle w:val="Ttulo3"/>
      </w:pPr>
      <w:bookmarkStart w:id="79" w:name="_Toc27405438"/>
      <w:r w:rsidRPr="00F0074A">
        <w:t>b.1 Complejidad del asunto</w:t>
      </w:r>
      <w:bookmarkEnd w:id="79"/>
    </w:p>
    <w:p w14:paraId="16E2DB4C" w14:textId="77777777" w:rsidR="00531FA1" w:rsidRPr="00F0074A" w:rsidRDefault="00D65DFF" w:rsidP="00E06F63">
      <w:pPr>
        <w:numPr>
          <w:ilvl w:val="0"/>
          <w:numId w:val="11"/>
        </w:numPr>
        <w:tabs>
          <w:tab w:val="left" w:pos="567"/>
          <w:tab w:val="num" w:pos="1569"/>
          <w:tab w:val="num" w:pos="12305"/>
        </w:tabs>
        <w:spacing w:line="240" w:lineRule="auto"/>
        <w:ind w:left="0" w:firstLine="0"/>
        <w:rPr>
          <w:lang w:bidi="en-US"/>
        </w:rPr>
      </w:pPr>
      <w:r w:rsidRPr="00F0074A">
        <w:rPr>
          <w:lang w:bidi="en-US"/>
        </w:rPr>
        <w:t>E</w:t>
      </w:r>
      <w:r w:rsidR="00531FA1" w:rsidRPr="00F0074A">
        <w:rPr>
          <w:lang w:bidi="en-US"/>
        </w:rPr>
        <w:t>n relación con</w:t>
      </w:r>
      <w:r w:rsidR="00D845E3" w:rsidRPr="00F0074A">
        <w:rPr>
          <w:lang w:bidi="en-US"/>
        </w:rPr>
        <w:t xml:space="preserve"> la complejidad del asunto</w:t>
      </w:r>
      <w:r w:rsidRPr="00F0074A">
        <w:rPr>
          <w:lang w:bidi="en-US"/>
        </w:rPr>
        <w:t>,</w:t>
      </w:r>
      <w:r w:rsidR="00D845E3" w:rsidRPr="00F0074A">
        <w:rPr>
          <w:lang w:bidi="en-US"/>
        </w:rPr>
        <w:t xml:space="preserve"> la Corte ha tenido en cuenta diversos criterios para </w:t>
      </w:r>
      <w:r w:rsidR="00531FA1" w:rsidRPr="00F0074A">
        <w:rPr>
          <w:lang w:bidi="en-US"/>
        </w:rPr>
        <w:t>determinarla</w:t>
      </w:r>
      <w:r w:rsidR="00D845E3" w:rsidRPr="00F0074A">
        <w:rPr>
          <w:lang w:bidi="en-US"/>
        </w:rPr>
        <w:t>. Entre ellos, la complejidad de la prueba, la pluralidad de sujetos procesales o la cantidad de víctimas, el tiempo transcurrido desde la violación, las características del recurso consagradas en la legislación interna y el contexto en el que ocurrió la violación</w:t>
      </w:r>
      <w:r w:rsidR="00D845E3" w:rsidRPr="00F0074A">
        <w:rPr>
          <w:rStyle w:val="Refdenotaalpie"/>
        </w:rPr>
        <w:footnoteReference w:id="112"/>
      </w:r>
      <w:r w:rsidR="00531FA1" w:rsidRPr="00F0074A">
        <w:rPr>
          <w:lang w:bidi="en-US"/>
        </w:rPr>
        <w:t xml:space="preserve">. </w:t>
      </w:r>
    </w:p>
    <w:p w14:paraId="1803A471" w14:textId="77777777" w:rsidR="00531FA1" w:rsidRPr="00F0074A" w:rsidRDefault="00531FA1" w:rsidP="00531FA1">
      <w:pPr>
        <w:tabs>
          <w:tab w:val="left" w:pos="567"/>
        </w:tabs>
        <w:spacing w:line="240" w:lineRule="auto"/>
        <w:rPr>
          <w:lang w:bidi="en-US"/>
        </w:rPr>
      </w:pPr>
    </w:p>
    <w:p w14:paraId="5EC82E82" w14:textId="3F3FC239" w:rsidR="00D65DFF" w:rsidRPr="00F0074A" w:rsidRDefault="00531FA1" w:rsidP="00D65DFF">
      <w:pPr>
        <w:numPr>
          <w:ilvl w:val="0"/>
          <w:numId w:val="11"/>
        </w:numPr>
        <w:tabs>
          <w:tab w:val="left" w:pos="567"/>
          <w:tab w:val="num" w:pos="1569"/>
          <w:tab w:val="num" w:pos="12305"/>
        </w:tabs>
        <w:spacing w:line="240" w:lineRule="auto"/>
        <w:ind w:left="0" w:firstLine="0"/>
        <w:rPr>
          <w:lang w:bidi="en-US"/>
        </w:rPr>
      </w:pPr>
      <w:r w:rsidRPr="00F0074A">
        <w:rPr>
          <w:lang w:bidi="en-US"/>
        </w:rPr>
        <w:t xml:space="preserve">En el presente caso la Corte </w:t>
      </w:r>
      <w:r w:rsidR="00D845E3" w:rsidRPr="00F0074A">
        <w:rPr>
          <w:lang w:bidi="en-US"/>
        </w:rPr>
        <w:t>advierte que la demanda de daños y perjuicios interpues</w:t>
      </w:r>
      <w:r w:rsidRPr="00F0074A">
        <w:rPr>
          <w:lang w:bidi="en-US"/>
        </w:rPr>
        <w:t>ta por la víctima</w:t>
      </w:r>
      <w:r w:rsidR="00D845E3" w:rsidRPr="00F0074A">
        <w:rPr>
          <w:lang w:bidi="en-US"/>
        </w:rPr>
        <w:t xml:space="preserve"> en contra del Estado argentino y el titular del Juzgado Nacional en lo Criminal y Correccional Federal </w:t>
      </w:r>
      <w:r w:rsidR="00597F47">
        <w:rPr>
          <w:lang w:bidi="en-US"/>
        </w:rPr>
        <w:t>No.</w:t>
      </w:r>
      <w:r w:rsidR="00D845E3" w:rsidRPr="00F0074A">
        <w:rPr>
          <w:lang w:bidi="en-US"/>
        </w:rPr>
        <w:t xml:space="preserve"> 9</w:t>
      </w:r>
      <w:r w:rsidRPr="00F0074A">
        <w:rPr>
          <w:lang w:bidi="en-US"/>
        </w:rPr>
        <w:t xml:space="preserve"> </w:t>
      </w:r>
      <w:r w:rsidR="00D65DFF" w:rsidRPr="00F0074A">
        <w:rPr>
          <w:lang w:bidi="en-US"/>
        </w:rPr>
        <w:t>tenía como objeto obtener una indemnización por el tiempo que el señor Jenkins estuvo en prisión preventiva y cuya excarcelación derivó de la solicitud de absolución realizada por el fiscal en el marco de la audiencia de debate del procedimiento penal</w:t>
      </w:r>
      <w:r w:rsidR="00D65DFF" w:rsidRPr="00F0074A">
        <w:rPr>
          <w:vertAlign w:val="superscript"/>
          <w:lang w:bidi="en-US"/>
        </w:rPr>
        <w:footnoteReference w:id="113"/>
      </w:r>
      <w:r w:rsidR="00D65DFF" w:rsidRPr="00F0074A">
        <w:rPr>
          <w:vertAlign w:val="superscript"/>
          <w:lang w:bidi="en-US"/>
        </w:rPr>
        <w:t xml:space="preserve"> </w:t>
      </w:r>
      <w:r w:rsidR="00D65DFF" w:rsidRPr="00F0074A">
        <w:rPr>
          <w:lang w:bidi="en-US"/>
        </w:rPr>
        <w:t>y que tuvo como resultado que el 19 de noviembre de 1997 el señor Jenkins fuera puesto en libertad</w:t>
      </w:r>
      <w:r w:rsidR="00D65DFF" w:rsidRPr="00F0074A">
        <w:rPr>
          <w:vertAlign w:val="superscript"/>
          <w:lang w:bidi="en-US"/>
        </w:rPr>
        <w:footnoteReference w:id="114"/>
      </w:r>
      <w:r w:rsidR="00D65DFF" w:rsidRPr="00F0074A">
        <w:rPr>
          <w:lang w:bidi="en-US"/>
        </w:rPr>
        <w:t>.</w:t>
      </w:r>
      <w:r w:rsidR="001A3D54">
        <w:rPr>
          <w:lang w:bidi="en-US"/>
        </w:rPr>
        <w:t xml:space="preserve"> </w:t>
      </w:r>
    </w:p>
    <w:p w14:paraId="40AD188E" w14:textId="77777777" w:rsidR="00D65DFF" w:rsidRPr="00F0074A" w:rsidRDefault="00D65DFF" w:rsidP="00D65DFF">
      <w:pPr>
        <w:tabs>
          <w:tab w:val="left" w:pos="567"/>
        </w:tabs>
        <w:spacing w:line="240" w:lineRule="auto"/>
        <w:rPr>
          <w:lang w:bidi="en-US"/>
        </w:rPr>
      </w:pPr>
    </w:p>
    <w:p w14:paraId="4B93C592" w14:textId="0AB95095" w:rsidR="00D65DFF" w:rsidRPr="00F0074A" w:rsidRDefault="00D65DFF" w:rsidP="00D65DFF">
      <w:pPr>
        <w:numPr>
          <w:ilvl w:val="0"/>
          <w:numId w:val="11"/>
        </w:numPr>
        <w:tabs>
          <w:tab w:val="left" w:pos="567"/>
          <w:tab w:val="num" w:pos="1569"/>
          <w:tab w:val="num" w:pos="12305"/>
        </w:tabs>
        <w:spacing w:line="240" w:lineRule="auto"/>
        <w:ind w:left="0" w:firstLine="0"/>
        <w:rPr>
          <w:lang w:bidi="en-US"/>
        </w:rPr>
      </w:pPr>
      <w:r w:rsidRPr="00F0074A">
        <w:rPr>
          <w:lang w:bidi="en-US"/>
        </w:rPr>
        <w:t>El señor Jenkins fundamentó la demanda indicando, entre otros, que (i) la prisión preventiva dictada en su contra y el auto de elevación a juicio oral dispuesto constituyeron un error judicial grave en una causa penal</w:t>
      </w:r>
      <w:r w:rsidR="00416AAE">
        <w:rPr>
          <w:lang w:bidi="en-US"/>
        </w:rPr>
        <w:t>,</w:t>
      </w:r>
      <w:r w:rsidRPr="00F0074A">
        <w:rPr>
          <w:lang w:bidi="en-US"/>
        </w:rPr>
        <w:t xml:space="preserve"> (ii) la sentencia dictada por el Tribunal Oral en lo Criminal Federal No. 6 era prueba del error judicial</w:t>
      </w:r>
      <w:r w:rsidR="00416AAE">
        <w:rPr>
          <w:lang w:bidi="en-US"/>
        </w:rPr>
        <w:t>,</w:t>
      </w:r>
      <w:r w:rsidRPr="00F0074A">
        <w:rPr>
          <w:lang w:bidi="en-US"/>
        </w:rPr>
        <w:t xml:space="preserve"> (iii) la pena anticipada obró como nexo causal para los daños y perjuicios que reclamaba, pues fue </w:t>
      </w:r>
      <w:r w:rsidR="005C15DA" w:rsidRPr="00F0074A">
        <w:rPr>
          <w:lang w:bidi="en-US"/>
        </w:rPr>
        <w:t>má</w:t>
      </w:r>
      <w:r w:rsidR="005C15DA">
        <w:rPr>
          <w:lang w:bidi="en-US"/>
        </w:rPr>
        <w:t>s</w:t>
      </w:r>
      <w:r w:rsidRPr="00F0074A">
        <w:rPr>
          <w:lang w:bidi="en-US"/>
        </w:rPr>
        <w:t xml:space="preserve"> allá de los limites necesarios para asegurar el desarrollo de la investigación y su comparecencia</w:t>
      </w:r>
      <w:r w:rsidR="00416AAE">
        <w:rPr>
          <w:lang w:bidi="en-US"/>
        </w:rPr>
        <w:t>,</w:t>
      </w:r>
      <w:r w:rsidRPr="00F0074A">
        <w:rPr>
          <w:lang w:bidi="en-US"/>
        </w:rPr>
        <w:t xml:space="preserve"> (iv) el lapso de 3 años y medio que permaneció en prisión preventiva resultó desproporcionado si se tiene en cuenta que su responsabilidad no había sido establecida y que luego se declaró su inocencia</w:t>
      </w:r>
      <w:r w:rsidR="00416AAE">
        <w:rPr>
          <w:lang w:bidi="en-US"/>
        </w:rPr>
        <w:t>,</w:t>
      </w:r>
      <w:r w:rsidRPr="00F0074A">
        <w:rPr>
          <w:lang w:bidi="en-US"/>
        </w:rPr>
        <w:t xml:space="preserve"> (v) el rechazo a la solicitud de excarcelación una vez cumplidos los dos años de prisión preventiva</w:t>
      </w:r>
      <w:r w:rsidR="00416AAE">
        <w:rPr>
          <w:lang w:bidi="en-US"/>
        </w:rPr>
        <w:t>,</w:t>
      </w:r>
      <w:r w:rsidRPr="00F0074A">
        <w:rPr>
          <w:lang w:bidi="en-US"/>
        </w:rPr>
        <w:t xml:space="preserve"> y (vi) su ausencia provocó un</w:t>
      </w:r>
      <w:r w:rsidR="001A3D54">
        <w:rPr>
          <w:lang w:bidi="en-US"/>
        </w:rPr>
        <w:t xml:space="preserve"> </w:t>
      </w:r>
      <w:r w:rsidRPr="00F0074A">
        <w:rPr>
          <w:lang w:bidi="en-US"/>
        </w:rPr>
        <w:t>daño en su entorno familiar debido a la pérdida de oportunidades laborales y sociales</w:t>
      </w:r>
      <w:r w:rsidRPr="00F0074A">
        <w:rPr>
          <w:rStyle w:val="Refdenotaalpie"/>
          <w:lang w:bidi="en-US"/>
        </w:rPr>
        <w:footnoteReference w:id="115"/>
      </w:r>
      <w:r w:rsidRPr="00F0074A">
        <w:rPr>
          <w:lang w:bidi="en-US"/>
        </w:rPr>
        <w:t xml:space="preserve">. </w:t>
      </w:r>
    </w:p>
    <w:p w14:paraId="7F0F3E8A" w14:textId="77777777" w:rsidR="00D845E3" w:rsidRPr="00F0074A" w:rsidRDefault="00D845E3" w:rsidP="00E06F63">
      <w:pPr>
        <w:pStyle w:val="Default"/>
        <w:jc w:val="both"/>
        <w:rPr>
          <w:sz w:val="20"/>
          <w:szCs w:val="20"/>
          <w:lang w:bidi="en-US"/>
        </w:rPr>
      </w:pPr>
    </w:p>
    <w:p w14:paraId="06DF1F6F" w14:textId="0C7A78DF" w:rsidR="00D845E3" w:rsidRPr="00F0074A" w:rsidRDefault="006477EA" w:rsidP="004E7EAA">
      <w:pPr>
        <w:numPr>
          <w:ilvl w:val="0"/>
          <w:numId w:val="11"/>
        </w:numPr>
        <w:tabs>
          <w:tab w:val="left" w:pos="567"/>
          <w:tab w:val="num" w:pos="1569"/>
          <w:tab w:val="num" w:pos="12305"/>
        </w:tabs>
        <w:spacing w:line="240" w:lineRule="auto"/>
        <w:ind w:left="0" w:firstLine="0"/>
        <w:rPr>
          <w:lang w:bidi="en-US"/>
        </w:rPr>
      </w:pPr>
      <w:r w:rsidRPr="00F0074A">
        <w:rPr>
          <w:lang w:bidi="en-US"/>
        </w:rPr>
        <w:t>La Corte observa</w:t>
      </w:r>
      <w:r w:rsidR="00DF3409">
        <w:rPr>
          <w:lang w:bidi="en-US"/>
        </w:rPr>
        <w:t xml:space="preserve"> que </w:t>
      </w:r>
      <w:r w:rsidR="00D65DFF" w:rsidRPr="00F0074A">
        <w:rPr>
          <w:lang w:bidi="en-US"/>
        </w:rPr>
        <w:t>l</w:t>
      </w:r>
      <w:r w:rsidRPr="00F0074A">
        <w:rPr>
          <w:lang w:bidi="en-US"/>
        </w:rPr>
        <w:t xml:space="preserve">a acción </w:t>
      </w:r>
      <w:r w:rsidR="00D65DFF" w:rsidRPr="00F0074A">
        <w:rPr>
          <w:lang w:bidi="en-US"/>
        </w:rPr>
        <w:t xml:space="preserve">ejercitada por el señor Jenkins implicaba un análisis por parte de </w:t>
      </w:r>
      <w:r w:rsidR="009B4428" w:rsidRPr="00F0074A">
        <w:rPr>
          <w:lang w:bidi="en-US"/>
        </w:rPr>
        <w:t>las autoridades judiciales sobre la existencia o no de un error judicial en el presente caso. Dicha determinación</w:t>
      </w:r>
      <w:r w:rsidRPr="00F0074A">
        <w:rPr>
          <w:lang w:bidi="en-US"/>
        </w:rPr>
        <w:t xml:space="preserve"> no requería, por tanto, una multitud de </w:t>
      </w:r>
      <w:r w:rsidR="00D845E3" w:rsidRPr="00F0074A">
        <w:rPr>
          <w:lang w:bidi="en-US"/>
        </w:rPr>
        <w:t xml:space="preserve">pruebas </w:t>
      </w:r>
      <w:r w:rsidRPr="00F0074A">
        <w:rPr>
          <w:lang w:bidi="en-US"/>
        </w:rPr>
        <w:t>de difícil valoración</w:t>
      </w:r>
      <w:r w:rsidR="009B4428" w:rsidRPr="00F0074A">
        <w:rPr>
          <w:lang w:bidi="en-US"/>
        </w:rPr>
        <w:t xml:space="preserve">, sino que se debía realizar un examen de las decisiones judiciales que versaron sobre la decisión de encarcelamiento del señor Jenkins, así como </w:t>
      </w:r>
      <w:r w:rsidR="00875E1D">
        <w:rPr>
          <w:lang w:bidi="en-US"/>
        </w:rPr>
        <w:t xml:space="preserve">de </w:t>
      </w:r>
      <w:r w:rsidR="009B4428" w:rsidRPr="00F0074A">
        <w:rPr>
          <w:lang w:bidi="en-US"/>
        </w:rPr>
        <w:t xml:space="preserve">las siguientes decisiones judiciales que rechazaron la solicitud de excarcelación interpuesta por éste. </w:t>
      </w:r>
      <w:r w:rsidR="00D845E3" w:rsidRPr="00F0074A">
        <w:rPr>
          <w:lang w:bidi="en-US"/>
        </w:rPr>
        <w:t xml:space="preserve">En consecuencia, </w:t>
      </w:r>
      <w:r w:rsidR="009B4428" w:rsidRPr="00F0074A">
        <w:rPr>
          <w:lang w:bidi="en-US"/>
        </w:rPr>
        <w:t>este Tribunal advierte que el proceso de daños y perjuicios instado por el señor Jenkins no revestía elementos de especial complejidad.</w:t>
      </w:r>
    </w:p>
    <w:p w14:paraId="38C59CFF" w14:textId="2762FA3A" w:rsidR="00D845E3" w:rsidRPr="000E2B8A" w:rsidRDefault="006056B1" w:rsidP="006056B1">
      <w:pPr>
        <w:pStyle w:val="Ttulo3"/>
        <w:rPr>
          <w:b/>
          <w:lang w:bidi="en-US"/>
        </w:rPr>
      </w:pPr>
      <w:bookmarkStart w:id="80" w:name="_Toc27405439"/>
      <w:r w:rsidRPr="00F0074A">
        <w:t>b.2 Actividad procesal del interesado</w:t>
      </w:r>
      <w:bookmarkEnd w:id="80"/>
    </w:p>
    <w:p w14:paraId="1024BAE8" w14:textId="77777777" w:rsidR="00110D58" w:rsidRPr="004658E1" w:rsidRDefault="006477EA" w:rsidP="000E2B8A">
      <w:pPr>
        <w:numPr>
          <w:ilvl w:val="0"/>
          <w:numId w:val="11"/>
        </w:numPr>
        <w:tabs>
          <w:tab w:val="left" w:pos="567"/>
          <w:tab w:val="num" w:pos="1569"/>
          <w:tab w:val="num" w:pos="12305"/>
        </w:tabs>
        <w:spacing w:line="240" w:lineRule="auto"/>
        <w:ind w:left="0" w:firstLine="0"/>
        <w:rPr>
          <w:bCs/>
        </w:rPr>
      </w:pPr>
      <w:r w:rsidRPr="004658E1">
        <w:rPr>
          <w:lang w:bidi="en-US"/>
        </w:rPr>
        <w:t>En cuanto a la actividad procesal</w:t>
      </w:r>
      <w:r w:rsidR="00012CE2" w:rsidRPr="004658E1">
        <w:rPr>
          <w:lang w:bidi="en-US"/>
        </w:rPr>
        <w:t xml:space="preserve"> del interesado, </w:t>
      </w:r>
      <w:r w:rsidR="00110D58" w:rsidRPr="004658E1">
        <w:t>el E</w:t>
      </w:r>
      <w:r w:rsidR="00110D58" w:rsidRPr="004658E1">
        <w:rPr>
          <w:lang w:eastAsia="es-ES" w:bidi="en-US"/>
        </w:rPr>
        <w:t>stado</w:t>
      </w:r>
      <w:r w:rsidR="00110D58" w:rsidRPr="004658E1">
        <w:t xml:space="preserve"> alegó que el señor Jenkins realizó determinadas </w:t>
      </w:r>
      <w:r w:rsidR="00110D58" w:rsidRPr="004658E1">
        <w:rPr>
          <w:lang w:bidi="en-US"/>
        </w:rPr>
        <w:t>actividades</w:t>
      </w:r>
      <w:r w:rsidR="00110D58" w:rsidRPr="004658E1">
        <w:t xml:space="preserve"> en el marco del procedimiento que lo dilataron. </w:t>
      </w:r>
      <w:r w:rsidR="00110D58" w:rsidRPr="004658E1">
        <w:rPr>
          <w:bCs/>
        </w:rPr>
        <w:t xml:space="preserve">A modo ilustrativo, el Estado señaló que el retraso en el procedimiento se debió a lo siguiente: </w:t>
      </w:r>
    </w:p>
    <w:p w14:paraId="6C2308B5" w14:textId="77777777" w:rsidR="00110D58" w:rsidRPr="00F0074A" w:rsidRDefault="00110D58" w:rsidP="00110D58">
      <w:pPr>
        <w:pStyle w:val="Textonotapie"/>
        <w:rPr>
          <w:bCs/>
        </w:rPr>
      </w:pPr>
    </w:p>
    <w:p w14:paraId="1711EAF6" w14:textId="77777777" w:rsidR="00110D58" w:rsidRPr="000E2B8A" w:rsidRDefault="00110D58" w:rsidP="00110D58">
      <w:pPr>
        <w:pStyle w:val="Textonotapie"/>
        <w:numPr>
          <w:ilvl w:val="0"/>
          <w:numId w:val="19"/>
        </w:numPr>
        <w:ind w:right="720"/>
        <w:rPr>
          <w:bCs/>
        </w:rPr>
      </w:pPr>
      <w:r w:rsidRPr="000E2B8A">
        <w:rPr>
          <w:bCs/>
        </w:rPr>
        <w:t xml:space="preserve">La demanda se interpuso contra el magistrado y los fiscales intervinientes fuera del procedimiento especial previsto para ello, lo cual demoró el trámite de la causa a su comienzo ya que los fiscales demandados solicitaron que se los desafectara del proceso por carecer de facultades para ejercer la representación del Ministerio Público Fiscal en los juicios de responsabilidad promovidos en su contra, lo cual fue aceptado por la jueza a cargo, por lo que posteriormente asumió la representación del Estado Nacional a través del Ministerio de Justicia. Por otro lado, el juez opuso excepción de falta de legitimación pasiva, la cual fue concedida por el Juzgado. </w:t>
      </w:r>
    </w:p>
    <w:p w14:paraId="256FA5BA" w14:textId="77777777" w:rsidR="00110D58" w:rsidRPr="000E2B8A" w:rsidRDefault="00110D58" w:rsidP="00110D58">
      <w:pPr>
        <w:pStyle w:val="Textonotapie"/>
        <w:ind w:left="720" w:right="720"/>
        <w:rPr>
          <w:bCs/>
          <w:highlight w:val="yellow"/>
        </w:rPr>
      </w:pPr>
    </w:p>
    <w:p w14:paraId="4735998D" w14:textId="77777777" w:rsidR="00110D58" w:rsidRPr="000E2B8A" w:rsidRDefault="00110D58" w:rsidP="00110D58">
      <w:pPr>
        <w:pStyle w:val="Textonotapie"/>
        <w:numPr>
          <w:ilvl w:val="0"/>
          <w:numId w:val="19"/>
        </w:numPr>
        <w:ind w:right="720"/>
      </w:pPr>
      <w:r w:rsidRPr="000E2B8A">
        <w:rPr>
          <w:bCs/>
        </w:rPr>
        <w:t>El señor Jenkins omitió indicar en la demanda por los daños y perjuicios el planteo sobre la arbitrariedad de su</w:t>
      </w:r>
      <w:r w:rsidRPr="000E2B8A">
        <w:t xml:space="preserve"> </w:t>
      </w:r>
      <w:r w:rsidRPr="000E2B8A">
        <w:rPr>
          <w:bCs/>
        </w:rPr>
        <w:t>detención y los rechazos a su excarcelación en base a la aplicación de una normativa que, a su entender era inconstitucional. Lo anterior impidió que dicha cuestión fuera discutida en los tribunales domésticos.</w:t>
      </w:r>
    </w:p>
    <w:p w14:paraId="6E508CEA" w14:textId="3BE2313D" w:rsidR="00110D58" w:rsidRPr="000E2B8A" w:rsidRDefault="000E2B8A" w:rsidP="000E2B8A">
      <w:pPr>
        <w:pStyle w:val="Textonotapie"/>
        <w:tabs>
          <w:tab w:val="left" w:pos="2040"/>
        </w:tabs>
        <w:ind w:left="720" w:right="720"/>
      </w:pPr>
      <w:r w:rsidRPr="000E2B8A">
        <w:tab/>
      </w:r>
    </w:p>
    <w:p w14:paraId="233ACCEB" w14:textId="77777777" w:rsidR="00110D58" w:rsidRPr="000E2B8A" w:rsidRDefault="00110D58" w:rsidP="00110D58">
      <w:pPr>
        <w:pStyle w:val="Textonotapie"/>
        <w:numPr>
          <w:ilvl w:val="0"/>
          <w:numId w:val="19"/>
        </w:numPr>
        <w:ind w:right="720"/>
        <w:rPr>
          <w:bCs/>
        </w:rPr>
      </w:pPr>
      <w:r w:rsidRPr="000E2B8A">
        <w:rPr>
          <w:bCs/>
        </w:rPr>
        <w:t>La interposición de un recurso de apelación contra la decisión judicial de abrir la causa a prueba.</w:t>
      </w:r>
    </w:p>
    <w:p w14:paraId="21D41A08" w14:textId="77777777" w:rsidR="00110D58" w:rsidRPr="000E2B8A" w:rsidRDefault="00110D58" w:rsidP="00110D58">
      <w:pPr>
        <w:pStyle w:val="Textonotapie"/>
        <w:ind w:left="720" w:right="720"/>
        <w:rPr>
          <w:bCs/>
        </w:rPr>
      </w:pPr>
    </w:p>
    <w:p w14:paraId="60F76365" w14:textId="77777777" w:rsidR="00110D58" w:rsidRPr="000E2B8A" w:rsidRDefault="00110D58" w:rsidP="00110D58">
      <w:pPr>
        <w:pStyle w:val="Textonotapie"/>
        <w:numPr>
          <w:ilvl w:val="0"/>
          <w:numId w:val="19"/>
        </w:numPr>
        <w:ind w:right="720"/>
        <w:rPr>
          <w:bCs/>
        </w:rPr>
      </w:pPr>
      <w:r w:rsidRPr="000E2B8A">
        <w:rPr>
          <w:bCs/>
        </w:rPr>
        <w:t xml:space="preserve">El ofrecimiento de prueba informativa mediante exhortos a la Isla de Gran Canaria insumieron al menos un año y medio de diligenciamiento, lo cual retrasó la etapa de producción de prueba. </w:t>
      </w:r>
    </w:p>
    <w:p w14:paraId="0DAD0644" w14:textId="77777777" w:rsidR="00110D58" w:rsidRPr="000E2B8A" w:rsidRDefault="00110D58" w:rsidP="00110D58">
      <w:pPr>
        <w:pStyle w:val="Textonotapie"/>
        <w:ind w:left="720" w:right="720"/>
        <w:rPr>
          <w:bCs/>
        </w:rPr>
      </w:pPr>
    </w:p>
    <w:p w14:paraId="41D619BF" w14:textId="77777777" w:rsidR="00110D58" w:rsidRPr="000E2B8A" w:rsidRDefault="00110D58" w:rsidP="00110D58">
      <w:pPr>
        <w:pStyle w:val="Textonotapie"/>
        <w:numPr>
          <w:ilvl w:val="0"/>
          <w:numId w:val="19"/>
        </w:numPr>
        <w:ind w:right="720"/>
        <w:rPr>
          <w:bCs/>
        </w:rPr>
      </w:pPr>
      <w:r w:rsidRPr="000E2B8A">
        <w:rPr>
          <w:bCs/>
        </w:rPr>
        <w:t xml:space="preserve">El ofrecimiento de prueba testimonial de la que luego el señor Jenkins desistió durante el proceso. </w:t>
      </w:r>
    </w:p>
    <w:p w14:paraId="4DA69352" w14:textId="77777777" w:rsidR="00110D58" w:rsidRPr="000E2B8A" w:rsidRDefault="00110D58" w:rsidP="00110D58">
      <w:pPr>
        <w:pStyle w:val="Textonotapie"/>
        <w:ind w:left="720" w:right="720"/>
        <w:rPr>
          <w:bCs/>
        </w:rPr>
      </w:pPr>
    </w:p>
    <w:p w14:paraId="0A6E8FF4" w14:textId="5AD8E9A6" w:rsidR="00110D58" w:rsidRPr="000E2B8A" w:rsidRDefault="00110D58" w:rsidP="00110D58">
      <w:pPr>
        <w:pStyle w:val="Textonotapie"/>
        <w:numPr>
          <w:ilvl w:val="0"/>
          <w:numId w:val="19"/>
        </w:numPr>
        <w:ind w:right="720"/>
        <w:rPr>
          <w:bCs/>
        </w:rPr>
      </w:pPr>
      <w:r w:rsidRPr="000E2B8A">
        <w:rPr>
          <w:bCs/>
        </w:rPr>
        <w:t>La presentación en forma extemporánea de sus alegatos</w:t>
      </w:r>
      <w:r w:rsidR="00581DF4" w:rsidRPr="000E2B8A">
        <w:rPr>
          <w:bCs/>
        </w:rPr>
        <w:t>,</w:t>
      </w:r>
      <w:r w:rsidRPr="000E2B8A">
        <w:rPr>
          <w:bCs/>
        </w:rPr>
        <w:t xml:space="preserve"> lo que provocó que la sentencia fue</w:t>
      </w:r>
      <w:r w:rsidR="00392D8F" w:rsidRPr="000E2B8A">
        <w:rPr>
          <w:bCs/>
        </w:rPr>
        <w:t>ra</w:t>
      </w:r>
      <w:r w:rsidRPr="000E2B8A">
        <w:rPr>
          <w:bCs/>
        </w:rPr>
        <w:t xml:space="preserve"> dictada sin poder considerar –por negligencia del señor Jenkins, según el Estado- sus consideraciones sobre la prueba producida en la causa. </w:t>
      </w:r>
    </w:p>
    <w:p w14:paraId="4E952AFA" w14:textId="77777777" w:rsidR="00110D58" w:rsidRPr="000E2B8A" w:rsidRDefault="00110D58" w:rsidP="00110D58">
      <w:pPr>
        <w:pStyle w:val="Textonotapie"/>
        <w:ind w:left="720" w:right="720"/>
        <w:rPr>
          <w:bCs/>
          <w:highlight w:val="yellow"/>
        </w:rPr>
      </w:pPr>
    </w:p>
    <w:p w14:paraId="4B9EA085" w14:textId="4C07216C" w:rsidR="00110D58" w:rsidRPr="000E2B8A" w:rsidRDefault="00110D58" w:rsidP="00110D58">
      <w:pPr>
        <w:pStyle w:val="Textonotapie"/>
        <w:numPr>
          <w:ilvl w:val="0"/>
          <w:numId w:val="19"/>
        </w:numPr>
        <w:ind w:right="720"/>
      </w:pPr>
      <w:r w:rsidRPr="000E2B8A">
        <w:rPr>
          <w:bCs/>
        </w:rPr>
        <w:t xml:space="preserve">La omisión de </w:t>
      </w:r>
      <w:r w:rsidR="008D46B3" w:rsidRPr="000E2B8A">
        <w:rPr>
          <w:bCs/>
        </w:rPr>
        <w:t>una crítica concreta y razonada</w:t>
      </w:r>
      <w:r w:rsidRPr="000E2B8A">
        <w:rPr>
          <w:bCs/>
        </w:rPr>
        <w:t xml:space="preserve"> sobre las partes que consideró equivocadas en el fallo en el marco de la apelación de la sentencia de primera instancia, que condujo a que los magistrados de la Sala III de la </w:t>
      </w:r>
      <w:r w:rsidRPr="000E2B8A">
        <w:t xml:space="preserve">Cámara Contencioso Administrativa Federal declararan desierto el recurso. </w:t>
      </w:r>
    </w:p>
    <w:p w14:paraId="1F80F725" w14:textId="77777777" w:rsidR="00110D58" w:rsidRPr="00F0074A" w:rsidRDefault="00110D58" w:rsidP="00110D58">
      <w:pPr>
        <w:pStyle w:val="Textonotapie"/>
        <w:ind w:left="720" w:right="720"/>
        <w:rPr>
          <w:sz w:val="18"/>
          <w:szCs w:val="18"/>
        </w:rPr>
      </w:pPr>
    </w:p>
    <w:p w14:paraId="717B8A0E" w14:textId="57095C30" w:rsidR="00DE3257" w:rsidRDefault="00110D58" w:rsidP="00392D8F">
      <w:pPr>
        <w:numPr>
          <w:ilvl w:val="0"/>
          <w:numId w:val="11"/>
        </w:numPr>
        <w:tabs>
          <w:tab w:val="left" w:pos="567"/>
          <w:tab w:val="num" w:pos="1569"/>
          <w:tab w:val="num" w:pos="12305"/>
        </w:tabs>
        <w:spacing w:line="240" w:lineRule="auto"/>
        <w:ind w:left="0" w:firstLine="0"/>
      </w:pPr>
      <w:r w:rsidRPr="00F0074A">
        <w:t xml:space="preserve">Con respecto </w:t>
      </w:r>
      <w:r w:rsidR="00DE3257">
        <w:t>al primer alegato</w:t>
      </w:r>
      <w:r w:rsidRPr="00F0074A">
        <w:t xml:space="preserve">, la Corte observa </w:t>
      </w:r>
      <w:r w:rsidR="00DE3257">
        <w:t xml:space="preserve">que </w:t>
      </w:r>
      <w:r w:rsidRPr="00F0074A">
        <w:t xml:space="preserve">la demanda por daños y perjuicios fue interpuesta el </w:t>
      </w:r>
      <w:r w:rsidRPr="00F0074A">
        <w:rPr>
          <w:lang w:bidi="en-US"/>
        </w:rPr>
        <w:t xml:space="preserve">27 de diciembre de 1999 </w:t>
      </w:r>
      <w:r w:rsidRPr="00F0074A">
        <w:rPr>
          <w:rFonts w:eastAsiaTheme="minorHAnsi"/>
          <w:lang w:eastAsia="en-US"/>
        </w:rPr>
        <w:t>y poco más de cinco meses después, el 8 de junio de 2000, la demanda fue parcialmente rechazada al acogerse la excepción de falta de legitimación para ser demandado interpuesta por el juez de instrucción, decidiéndose continuar con el trámite de la demanda respecto del Estado Nacional</w:t>
      </w:r>
      <w:r w:rsidRPr="00F0074A">
        <w:rPr>
          <w:rStyle w:val="Refdenotaalpie"/>
          <w:rFonts w:eastAsiaTheme="minorHAnsi"/>
          <w:lang w:eastAsia="en-US"/>
        </w:rPr>
        <w:footnoteReference w:id="116"/>
      </w:r>
      <w:r w:rsidRPr="00F0074A">
        <w:rPr>
          <w:rFonts w:eastAsiaTheme="minorHAnsi"/>
          <w:lang w:eastAsia="en-US"/>
        </w:rPr>
        <w:t xml:space="preserve">. Por tanto, este hecho no tuvo un impacto relevante en la duración total del </w:t>
      </w:r>
      <w:r w:rsidR="00392D8F" w:rsidRPr="00F0074A">
        <w:rPr>
          <w:rFonts w:eastAsiaTheme="minorHAnsi"/>
          <w:lang w:eastAsia="en-US"/>
        </w:rPr>
        <w:t>procedimiento</w:t>
      </w:r>
      <w:r w:rsidRPr="00F0074A">
        <w:rPr>
          <w:rFonts w:eastAsiaTheme="minorHAnsi"/>
          <w:lang w:eastAsia="en-US"/>
        </w:rPr>
        <w:t xml:space="preserve">, la cual, recordemos, fue de </w:t>
      </w:r>
      <w:r w:rsidR="00457796">
        <w:rPr>
          <w:rFonts w:eastAsiaTheme="minorHAnsi"/>
          <w:lang w:eastAsia="en-US"/>
        </w:rPr>
        <w:t xml:space="preserve">más de 8 </w:t>
      </w:r>
      <w:r w:rsidR="00392D8F" w:rsidRPr="00F0074A">
        <w:rPr>
          <w:rFonts w:eastAsiaTheme="minorHAnsi"/>
          <w:lang w:eastAsia="en-US"/>
        </w:rPr>
        <w:t>años.</w:t>
      </w:r>
      <w:r w:rsidR="001A3D54">
        <w:rPr>
          <w:rFonts w:eastAsiaTheme="minorHAnsi"/>
          <w:lang w:eastAsia="en-US"/>
        </w:rPr>
        <w:t xml:space="preserve"> </w:t>
      </w:r>
    </w:p>
    <w:p w14:paraId="05927975" w14:textId="77777777" w:rsidR="00DE3257" w:rsidRDefault="00DE3257" w:rsidP="00DE3257">
      <w:pPr>
        <w:tabs>
          <w:tab w:val="left" w:pos="567"/>
        </w:tabs>
        <w:spacing w:line="240" w:lineRule="auto"/>
      </w:pPr>
    </w:p>
    <w:p w14:paraId="6DD4BC3C" w14:textId="1C0BA5C4" w:rsidR="00DE3257" w:rsidRDefault="00392D8F" w:rsidP="00392D8F">
      <w:pPr>
        <w:numPr>
          <w:ilvl w:val="0"/>
          <w:numId w:val="11"/>
        </w:numPr>
        <w:tabs>
          <w:tab w:val="left" w:pos="567"/>
          <w:tab w:val="num" w:pos="1569"/>
          <w:tab w:val="num" w:pos="12305"/>
        </w:tabs>
        <w:spacing w:line="240" w:lineRule="auto"/>
        <w:ind w:left="0" w:firstLine="0"/>
      </w:pPr>
      <w:r w:rsidRPr="00F0074A">
        <w:t xml:space="preserve">Por otro lado, la Corte </w:t>
      </w:r>
      <w:r w:rsidR="00581DF4">
        <w:t>observa</w:t>
      </w:r>
      <w:r w:rsidRPr="00F0074A">
        <w:t xml:space="preserve"> que otros de los alegatos del Estado se centra</w:t>
      </w:r>
      <w:r w:rsidR="00581DF4">
        <w:t>ron</w:t>
      </w:r>
      <w:r w:rsidRPr="00F0074A">
        <w:t xml:space="preserve"> en ciertas omisiones realizadas por el señor Jenkins a la hora de motivar su demanda</w:t>
      </w:r>
      <w:r w:rsidR="00D406E3">
        <w:t xml:space="preserve"> </w:t>
      </w:r>
      <w:r w:rsidR="00D406E3" w:rsidRPr="004658E1">
        <w:t>(</w:t>
      </w:r>
      <w:r w:rsidR="00D406E3" w:rsidRPr="004658E1">
        <w:rPr>
          <w:i/>
        </w:rPr>
        <w:t>supra</w:t>
      </w:r>
      <w:r w:rsidR="00D406E3" w:rsidRPr="004658E1">
        <w:t xml:space="preserve"> párr. 114.2 y 114.7)</w:t>
      </w:r>
      <w:r w:rsidRPr="00F0074A">
        <w:t xml:space="preserve">. La </w:t>
      </w:r>
      <w:r w:rsidR="00581DF4">
        <w:t xml:space="preserve">Corte advierte que la </w:t>
      </w:r>
      <w:r w:rsidRPr="00F0074A">
        <w:t>correcta o incorrecta motivación de los recursos (o la inadmisión de alegatos debido a su interposición extemporánea) no tiene</w:t>
      </w:r>
      <w:r w:rsidR="00581DF4">
        <w:t>n</w:t>
      </w:r>
      <w:r w:rsidRPr="00F0074A">
        <w:t xml:space="preserve"> relación alguna, ni puede justificar</w:t>
      </w:r>
      <w:r w:rsidR="00581DF4">
        <w:t>,</w:t>
      </w:r>
      <w:r w:rsidRPr="00F0074A">
        <w:t xml:space="preserve"> el retraso procesal a la hora de dar una debida respuesta por parte de las autoridades judiciales a la demanda interpuesta por el señor Jenkins. </w:t>
      </w:r>
    </w:p>
    <w:p w14:paraId="3795C60D" w14:textId="77777777" w:rsidR="00DE3257" w:rsidRDefault="00DE3257" w:rsidP="00DE3257">
      <w:pPr>
        <w:tabs>
          <w:tab w:val="left" w:pos="567"/>
        </w:tabs>
        <w:spacing w:line="240" w:lineRule="auto"/>
      </w:pPr>
    </w:p>
    <w:p w14:paraId="693F233B" w14:textId="506C4EBE" w:rsidR="00DE3257" w:rsidRDefault="00581DF4" w:rsidP="00392D8F">
      <w:pPr>
        <w:numPr>
          <w:ilvl w:val="0"/>
          <w:numId w:val="11"/>
        </w:numPr>
        <w:tabs>
          <w:tab w:val="left" w:pos="567"/>
          <w:tab w:val="num" w:pos="1569"/>
          <w:tab w:val="num" w:pos="12305"/>
        </w:tabs>
        <w:spacing w:line="240" w:lineRule="auto"/>
        <w:ind w:left="0" w:firstLine="0"/>
      </w:pPr>
      <w:r>
        <w:t xml:space="preserve">Con respecto a la interposición </w:t>
      </w:r>
      <w:r w:rsidRPr="00F0074A">
        <w:rPr>
          <w:bCs/>
        </w:rPr>
        <w:t>de un recurso de apelación contra la decisión judicial de abrir la causa a prueba</w:t>
      </w:r>
      <w:r w:rsidR="00D406E3">
        <w:rPr>
          <w:bCs/>
        </w:rPr>
        <w:t xml:space="preserve"> </w:t>
      </w:r>
      <w:r w:rsidR="00D406E3" w:rsidRPr="004658E1">
        <w:t>(</w:t>
      </w:r>
      <w:r w:rsidR="00D406E3" w:rsidRPr="004658E1">
        <w:rPr>
          <w:i/>
        </w:rPr>
        <w:t>supra</w:t>
      </w:r>
      <w:r w:rsidR="00D406E3" w:rsidRPr="004658E1">
        <w:t xml:space="preserve"> párr. 114.3)</w:t>
      </w:r>
      <w:r>
        <w:t xml:space="preserve">, la Corte </w:t>
      </w:r>
      <w:r w:rsidR="00F63460">
        <w:t>nota</w:t>
      </w:r>
      <w:r w:rsidR="00321C98">
        <w:t xml:space="preserve"> que el señor Jenkins </w:t>
      </w:r>
      <w:r w:rsidR="00321C98" w:rsidRPr="00657A37">
        <w:t>estaba haciendo uso</w:t>
      </w:r>
      <w:r w:rsidR="00C30A70">
        <w:t xml:space="preserve"> debido</w:t>
      </w:r>
      <w:r w:rsidR="00321C98" w:rsidRPr="00657A37">
        <w:t xml:space="preserve"> de </w:t>
      </w:r>
      <w:r w:rsidR="00C30A70">
        <w:t xml:space="preserve">los </w:t>
      </w:r>
      <w:r w:rsidR="00321C98" w:rsidRPr="00657A37">
        <w:t>medios de impugnación reconocidos por la legislación aplicable para la defensa de sus intereses</w:t>
      </w:r>
      <w:r w:rsidR="00C30A70">
        <w:t>, cuestión que no puede redundar en su contra</w:t>
      </w:r>
      <w:r w:rsidR="00321C98" w:rsidRPr="00657A37">
        <w:rPr>
          <w:rStyle w:val="Refdenotaalpie"/>
        </w:rPr>
        <w:footnoteReference w:id="117"/>
      </w:r>
      <w:r>
        <w:t>.</w:t>
      </w:r>
    </w:p>
    <w:p w14:paraId="2581D585" w14:textId="77777777" w:rsidR="00DE3257" w:rsidRDefault="00DE3257" w:rsidP="00DE3257">
      <w:pPr>
        <w:tabs>
          <w:tab w:val="left" w:pos="567"/>
        </w:tabs>
        <w:spacing w:line="240" w:lineRule="auto"/>
      </w:pPr>
    </w:p>
    <w:p w14:paraId="3195FE57" w14:textId="097E0F8D" w:rsidR="00110D58" w:rsidRPr="00F0074A" w:rsidRDefault="00392D8F" w:rsidP="00392D8F">
      <w:pPr>
        <w:numPr>
          <w:ilvl w:val="0"/>
          <w:numId w:val="11"/>
        </w:numPr>
        <w:tabs>
          <w:tab w:val="left" w:pos="567"/>
          <w:tab w:val="num" w:pos="1569"/>
          <w:tab w:val="num" w:pos="12305"/>
        </w:tabs>
        <w:spacing w:line="240" w:lineRule="auto"/>
        <w:ind w:left="0" w:firstLine="0"/>
      </w:pPr>
      <w:r w:rsidRPr="00F0074A">
        <w:t xml:space="preserve">Por último, </w:t>
      </w:r>
      <w:r w:rsidR="000E2B8A" w:rsidRPr="004658E1">
        <w:t>con respecto a los ofrecimientos de prueba señalados y la alegada presentación extemporánea de</w:t>
      </w:r>
      <w:r w:rsidR="00DD2ED2">
        <w:t xml:space="preserve"> </w:t>
      </w:r>
      <w:r w:rsidR="000E2B8A" w:rsidRPr="004658E1">
        <w:t>ciertos alegatos</w:t>
      </w:r>
      <w:r w:rsidR="00D406E3" w:rsidRPr="004658E1">
        <w:t xml:space="preserve"> (</w:t>
      </w:r>
      <w:r w:rsidR="00D406E3" w:rsidRPr="004658E1">
        <w:rPr>
          <w:i/>
        </w:rPr>
        <w:t>supra</w:t>
      </w:r>
      <w:r w:rsidR="00D406E3" w:rsidRPr="004658E1">
        <w:t xml:space="preserve"> párr. 114.4, 114.5 y 114.6)</w:t>
      </w:r>
      <w:r w:rsidR="000E2B8A" w:rsidRPr="004658E1">
        <w:t>,</w:t>
      </w:r>
      <w:r w:rsidR="000E2B8A">
        <w:t xml:space="preserve"> </w:t>
      </w:r>
      <w:r w:rsidRPr="00F0074A">
        <w:t>la</w:t>
      </w:r>
      <w:r w:rsidR="00110D58" w:rsidRPr="00F0074A">
        <w:t xml:space="preserve"> Corte observa que el Estado no ha desplegado ningún tipo de actividad probatoria que acredite </w:t>
      </w:r>
      <w:r w:rsidRPr="00F0074A">
        <w:t>los mismos.</w:t>
      </w:r>
    </w:p>
    <w:p w14:paraId="624B1669" w14:textId="66C5732F" w:rsidR="00D845E3" w:rsidRPr="00F0074A" w:rsidRDefault="00B41676" w:rsidP="00B41676">
      <w:pPr>
        <w:pStyle w:val="Ttulo3"/>
        <w:rPr>
          <w:lang w:bidi="en-US"/>
        </w:rPr>
      </w:pPr>
      <w:bookmarkStart w:id="81" w:name="_Toc27405440"/>
      <w:r w:rsidRPr="00F0074A">
        <w:t>b.3 Conducta de las autoridades estatales</w:t>
      </w:r>
      <w:bookmarkEnd w:id="81"/>
    </w:p>
    <w:p w14:paraId="75A7ACEF" w14:textId="06923E4E" w:rsidR="00F0074A" w:rsidRPr="00F0074A" w:rsidRDefault="006477EA" w:rsidP="00F0074A">
      <w:pPr>
        <w:numPr>
          <w:ilvl w:val="0"/>
          <w:numId w:val="11"/>
        </w:numPr>
        <w:tabs>
          <w:tab w:val="left" w:pos="567"/>
          <w:tab w:val="num" w:pos="1569"/>
          <w:tab w:val="num" w:pos="12305"/>
        </w:tabs>
        <w:spacing w:line="240" w:lineRule="auto"/>
        <w:ind w:left="0" w:firstLine="0"/>
      </w:pPr>
      <w:r w:rsidRPr="00F0074A">
        <w:rPr>
          <w:lang w:bidi="en-US"/>
        </w:rPr>
        <w:t>En relación al tercer elemento, esto es</w:t>
      </w:r>
      <w:r w:rsidR="00012CE2" w:rsidRPr="00F0074A">
        <w:rPr>
          <w:lang w:bidi="en-US"/>
        </w:rPr>
        <w:t>,</w:t>
      </w:r>
      <w:r w:rsidRPr="00F0074A">
        <w:rPr>
          <w:lang w:bidi="en-US"/>
        </w:rPr>
        <w:t xml:space="preserve"> </w:t>
      </w:r>
      <w:r w:rsidRPr="00F0074A">
        <w:rPr>
          <w:rFonts w:cs="Verdana"/>
          <w:iCs/>
        </w:rPr>
        <w:t>la conducta de las autoridades judiciales</w:t>
      </w:r>
      <w:r w:rsidR="00D845E3" w:rsidRPr="00F0074A">
        <w:rPr>
          <w:lang w:bidi="en-US"/>
        </w:rPr>
        <w:t xml:space="preserve">, </w:t>
      </w:r>
      <w:r w:rsidR="00012CE2" w:rsidRPr="00F0074A">
        <w:rPr>
          <w:rFonts w:eastAsia="Batang" w:cs="Arial"/>
          <w:lang w:val="es-ES" w:eastAsia="es-MX"/>
        </w:rPr>
        <w:t xml:space="preserve">la Corte ha entendido que, </w:t>
      </w:r>
      <w:r w:rsidR="00012CE2" w:rsidRPr="00F0074A">
        <w:rPr>
          <w:lang w:val="es-ES"/>
        </w:rPr>
        <w:t xml:space="preserve">para lograr plenamente la efectividad de la sentencia, </w:t>
      </w:r>
      <w:r w:rsidR="00012CE2" w:rsidRPr="00F0074A">
        <w:rPr>
          <w:rFonts w:cs="Tahoma"/>
          <w:shd w:val="clear" w:color="auto" w:fill="FFFFFF"/>
        </w:rPr>
        <w:t xml:space="preserve">las autoridades judiciales deben actuar con celeridad y </w:t>
      </w:r>
      <w:r w:rsidR="00012CE2" w:rsidRPr="00F0074A">
        <w:rPr>
          <w:lang w:val="es-ES"/>
        </w:rPr>
        <w:t>sin demora</w:t>
      </w:r>
      <w:r w:rsidR="00012CE2" w:rsidRPr="00F0074A">
        <w:rPr>
          <w:rStyle w:val="Refdenotaalpie"/>
          <w:lang w:val="es-ES"/>
        </w:rPr>
        <w:footnoteReference w:id="118"/>
      </w:r>
      <w:r w:rsidR="00012CE2" w:rsidRPr="00F0074A">
        <w:rPr>
          <w:lang w:val="es-ES"/>
        </w:rPr>
        <w:t xml:space="preserve">, debido a que el principio de tutela judicial </w:t>
      </w:r>
      <w:r w:rsidR="00012CE2" w:rsidRPr="00F0074A">
        <w:t>efectiva</w:t>
      </w:r>
      <w:r w:rsidR="00012CE2" w:rsidRPr="00F0074A">
        <w:rPr>
          <w:lang w:val="es-ES"/>
        </w:rPr>
        <w:t xml:space="preserve"> requiere que los procedimientos de ejecución sean llevados a cabo sin obstáculos o demoras indebidas, a fin de que alcancen su objetivo </w:t>
      </w:r>
      <w:r w:rsidR="00012CE2" w:rsidRPr="00F0074A">
        <w:t>de</w:t>
      </w:r>
      <w:r w:rsidR="00012CE2" w:rsidRPr="00F0074A">
        <w:rPr>
          <w:lang w:val="es-ES"/>
        </w:rPr>
        <w:t xml:space="preserve"> manera rápida, sencilla e integral</w:t>
      </w:r>
      <w:r w:rsidR="00012CE2" w:rsidRPr="00F0074A">
        <w:rPr>
          <w:vertAlign w:val="superscript"/>
          <w:lang w:val="es-ES"/>
        </w:rPr>
        <w:footnoteReference w:id="119"/>
      </w:r>
      <w:r w:rsidR="00012CE2" w:rsidRPr="00F0074A">
        <w:rPr>
          <w:lang w:val="es-ES"/>
        </w:rPr>
        <w:t xml:space="preserve">. En el presente caso, </w:t>
      </w:r>
      <w:r w:rsidRPr="00F0074A">
        <w:rPr>
          <w:lang w:bidi="en-US"/>
        </w:rPr>
        <w:t>la Corte observa que</w:t>
      </w:r>
      <w:r w:rsidR="00392D8F" w:rsidRPr="00F0074A">
        <w:rPr>
          <w:lang w:bidi="en-US"/>
        </w:rPr>
        <w:t>, tal y como así también lo indica la Comisión,</w:t>
      </w:r>
      <w:r w:rsidRPr="00F0074A">
        <w:rPr>
          <w:lang w:bidi="en-US"/>
        </w:rPr>
        <w:t xml:space="preserve"> </w:t>
      </w:r>
      <w:r w:rsidR="00D845E3" w:rsidRPr="00F0074A">
        <w:rPr>
          <w:lang w:bidi="en-US"/>
        </w:rPr>
        <w:t xml:space="preserve">no </w:t>
      </w:r>
      <w:r w:rsidR="00392D8F" w:rsidRPr="00F0074A">
        <w:rPr>
          <w:lang w:bidi="en-US"/>
        </w:rPr>
        <w:t xml:space="preserve">cuenta </w:t>
      </w:r>
      <w:r w:rsidR="00D845E3" w:rsidRPr="00F0074A">
        <w:rPr>
          <w:lang w:bidi="en-US"/>
        </w:rPr>
        <w:t>con información</w:t>
      </w:r>
      <w:r w:rsidR="00392D8F" w:rsidRPr="00F0074A">
        <w:rPr>
          <w:lang w:bidi="en-US"/>
        </w:rPr>
        <w:t xml:space="preserve"> ni con la prueba necesaria </w:t>
      </w:r>
      <w:r w:rsidR="00D845E3" w:rsidRPr="00F0074A">
        <w:rPr>
          <w:lang w:bidi="en-US"/>
        </w:rPr>
        <w:t>respecto de diligencias realizadas por el Estado</w:t>
      </w:r>
      <w:r w:rsidR="00F0074A">
        <w:rPr>
          <w:lang w:bidi="en-US"/>
        </w:rPr>
        <w:t xml:space="preserve"> e</w:t>
      </w:r>
      <w:r w:rsidR="00F0074A" w:rsidRPr="00F0074A">
        <w:rPr>
          <w:lang w:bidi="en-US"/>
        </w:rPr>
        <w:t xml:space="preserve">ntre </w:t>
      </w:r>
      <w:r w:rsidR="00F0074A">
        <w:rPr>
          <w:lang w:bidi="en-US"/>
        </w:rPr>
        <w:t xml:space="preserve">el </w:t>
      </w:r>
      <w:r w:rsidR="00F0074A" w:rsidRPr="00F0074A">
        <w:rPr>
          <w:lang w:bidi="en-US"/>
        </w:rPr>
        <w:t>8 de junio de 2000</w:t>
      </w:r>
      <w:r w:rsidR="00F0074A">
        <w:rPr>
          <w:lang w:bidi="en-US"/>
        </w:rPr>
        <w:t xml:space="preserve"> -fecha en la que se </w:t>
      </w:r>
      <w:r w:rsidR="00F0074A" w:rsidRPr="00F0074A">
        <w:rPr>
          <w:lang w:bidi="en-US"/>
        </w:rPr>
        <w:t xml:space="preserve">rechazó parcialmente </w:t>
      </w:r>
      <w:r w:rsidR="00F0074A">
        <w:rPr>
          <w:lang w:bidi="en-US"/>
        </w:rPr>
        <w:t xml:space="preserve">y se </w:t>
      </w:r>
      <w:r w:rsidR="00F0074A" w:rsidRPr="00F0074A">
        <w:rPr>
          <w:lang w:bidi="en-US"/>
        </w:rPr>
        <w:t>acordó continuar el proceso únicamente en contra del Estado</w:t>
      </w:r>
      <w:r w:rsidR="00F0074A">
        <w:rPr>
          <w:lang w:bidi="en-US"/>
        </w:rPr>
        <w:t xml:space="preserve">- hasta el </w:t>
      </w:r>
      <w:r w:rsidR="00F0074A" w:rsidRPr="00F0074A">
        <w:rPr>
          <w:lang w:bidi="en-US"/>
        </w:rPr>
        <w:t>30 de abril de 2007</w:t>
      </w:r>
      <w:r w:rsidR="00F0074A">
        <w:rPr>
          <w:lang w:bidi="en-US"/>
        </w:rPr>
        <w:t xml:space="preserve">, fecha en la que </w:t>
      </w:r>
      <w:r w:rsidR="00F0074A" w:rsidRPr="00F0074A">
        <w:rPr>
          <w:lang w:bidi="en-US"/>
        </w:rPr>
        <w:t xml:space="preserve">el Juzgado Nacional en lo Criminal y Correccional Federal </w:t>
      </w:r>
      <w:r w:rsidR="008D46B3">
        <w:rPr>
          <w:lang w:bidi="en-US"/>
        </w:rPr>
        <w:t>No.</w:t>
      </w:r>
      <w:r w:rsidR="00F0074A" w:rsidRPr="00F0074A">
        <w:rPr>
          <w:lang w:bidi="en-US"/>
        </w:rPr>
        <w:t xml:space="preserve"> 9 desestimó la pretensión del demandante</w:t>
      </w:r>
      <w:r w:rsidR="00F0074A">
        <w:rPr>
          <w:lang w:bidi="en-US"/>
        </w:rPr>
        <w:t>.</w:t>
      </w:r>
    </w:p>
    <w:p w14:paraId="3CA23127" w14:textId="109CE419" w:rsidR="00B41676" w:rsidRPr="00F0074A" w:rsidRDefault="00D65DFF" w:rsidP="00F0074A">
      <w:pPr>
        <w:pStyle w:val="Ttulo3"/>
      </w:pPr>
      <w:bookmarkStart w:id="82" w:name="_Toc27405441"/>
      <w:r w:rsidRPr="00F0074A">
        <w:t xml:space="preserve">b.4 </w:t>
      </w:r>
      <w:r w:rsidR="00B41676" w:rsidRPr="00F0074A">
        <w:t xml:space="preserve">Afectación generada en la situación jurídica </w:t>
      </w:r>
      <w:r w:rsidR="00A94869" w:rsidRPr="004658E1">
        <w:t>del señor Jenkins</w:t>
      </w:r>
      <w:bookmarkEnd w:id="82"/>
      <w:r w:rsidR="00D406E3">
        <w:t xml:space="preserve"> </w:t>
      </w:r>
    </w:p>
    <w:p w14:paraId="35448766" w14:textId="5E0C94BB" w:rsidR="00975621" w:rsidRDefault="006477EA" w:rsidP="00975621">
      <w:pPr>
        <w:numPr>
          <w:ilvl w:val="0"/>
          <w:numId w:val="11"/>
        </w:numPr>
        <w:tabs>
          <w:tab w:val="left" w:pos="567"/>
          <w:tab w:val="num" w:pos="1569"/>
          <w:tab w:val="num" w:pos="12305"/>
        </w:tabs>
        <w:spacing w:line="240" w:lineRule="auto"/>
        <w:ind w:left="0" w:firstLine="0"/>
      </w:pPr>
      <w:r w:rsidRPr="00FD0B53">
        <w:rPr>
          <w:lang w:bidi="en-US"/>
        </w:rPr>
        <w:t>Por último</w:t>
      </w:r>
      <w:r w:rsidR="00D845E3" w:rsidRPr="00FD0B53">
        <w:rPr>
          <w:lang w:bidi="en-US"/>
        </w:rPr>
        <w:t>, en relación a la afectación generad</w:t>
      </w:r>
      <w:r w:rsidR="004658E1">
        <w:rPr>
          <w:lang w:bidi="en-US"/>
        </w:rPr>
        <w:t xml:space="preserve">a en la situación jurídica del señor Jenkins, </w:t>
      </w:r>
      <w:r w:rsidR="00D845E3" w:rsidRPr="00FD0B53">
        <w:rPr>
          <w:lang w:bidi="en-US"/>
        </w:rPr>
        <w:t xml:space="preserve">el </w:t>
      </w:r>
      <w:r w:rsidR="00D845E3" w:rsidRPr="00FD0B53">
        <w:rPr>
          <w:rFonts w:eastAsia="Batang"/>
          <w:lang w:eastAsia="en-US"/>
        </w:rPr>
        <w:t>Tribunal</w:t>
      </w:r>
      <w:r w:rsidR="00D845E3" w:rsidRPr="00FD0B53">
        <w:rPr>
          <w:lang w:bidi="en-US"/>
        </w:rPr>
        <w:t xml:space="preserve"> ha establecido que, si el paso del tiempo incide de manera relevante en la situación jurídica del individuo, resultará necesario que el procedimiento corra con más diligencia a fin de que el caso se resuelva en un tiempo breve</w:t>
      </w:r>
      <w:r w:rsidR="00D845E3" w:rsidRPr="00FD0B53">
        <w:rPr>
          <w:rStyle w:val="Refdenotaalpie"/>
        </w:rPr>
        <w:footnoteReference w:id="120"/>
      </w:r>
      <w:r w:rsidR="00BB11D4" w:rsidRPr="00FD0B53">
        <w:rPr>
          <w:lang w:bidi="en-US"/>
        </w:rPr>
        <w:t>.</w:t>
      </w:r>
      <w:r w:rsidR="00D845E3" w:rsidRPr="00FD0B53">
        <w:rPr>
          <w:lang w:bidi="en-US"/>
        </w:rPr>
        <w:t xml:space="preserve"> En el caso que nos ocupa </w:t>
      </w:r>
      <w:r w:rsidR="00975621" w:rsidRPr="00364F2A">
        <w:t>la Corte considera que no cuenta con elementos suficientes para pronunciarse respecto a este último criterio.</w:t>
      </w:r>
    </w:p>
    <w:p w14:paraId="1BC65D5A" w14:textId="77777777" w:rsidR="00D845E3" w:rsidRPr="00F0074A" w:rsidRDefault="00D845E3" w:rsidP="00E06F63">
      <w:pPr>
        <w:pStyle w:val="Default"/>
        <w:jc w:val="both"/>
        <w:rPr>
          <w:rFonts w:eastAsia="Batang"/>
          <w:sz w:val="20"/>
          <w:szCs w:val="20"/>
        </w:rPr>
      </w:pPr>
    </w:p>
    <w:p w14:paraId="23F806A9" w14:textId="77777777" w:rsidR="00F40750" w:rsidRPr="00F0074A" w:rsidRDefault="00F40750" w:rsidP="00F40750">
      <w:pPr>
        <w:widowControl/>
        <w:numPr>
          <w:ilvl w:val="0"/>
          <w:numId w:val="11"/>
        </w:numPr>
        <w:tabs>
          <w:tab w:val="left" w:pos="567"/>
          <w:tab w:val="left" w:pos="720"/>
        </w:tabs>
        <w:adjustRightInd/>
        <w:spacing w:line="240" w:lineRule="auto"/>
        <w:ind w:left="0" w:firstLine="0"/>
        <w:textAlignment w:val="auto"/>
        <w:rPr>
          <w:rFonts w:cs="Verdana"/>
          <w:bCs/>
          <w:iCs/>
        </w:rPr>
      </w:pPr>
      <w:r w:rsidRPr="00F0074A">
        <w:rPr>
          <w:rFonts w:eastAsia="Batang" w:cs="Arial"/>
          <w:lang w:val="es-ES" w:eastAsia="es-MX"/>
        </w:rPr>
        <w:t>Una vez analizados los cuatro elementos para determinar la razonabilidad del plazo, la Corte concluye que las autoridades judiciales excedieron el plazo razonable del proceso, lo cual vulnera el derecho a las garantías judiciales establecido en el artículo 8.1 de la Convención Americana</w:t>
      </w:r>
      <w:r w:rsidRPr="00F0074A">
        <w:rPr>
          <w:rFonts w:cs="Arial"/>
          <w:lang w:val="es-ES" w:eastAsia="es-MX"/>
        </w:rPr>
        <w:t xml:space="preserve">, en relación con el </w:t>
      </w:r>
      <w:r w:rsidRPr="00F0074A">
        <w:rPr>
          <w:rFonts w:eastAsia="Batang" w:cs="Arial"/>
          <w:lang w:val="es-ES" w:eastAsia="es-MX"/>
        </w:rPr>
        <w:t xml:space="preserve">artículo 1.1 </w:t>
      </w:r>
      <w:r w:rsidRPr="00F0074A">
        <w:rPr>
          <w:rFonts w:cs="Arial"/>
          <w:lang w:val="es-ES" w:eastAsia="es-MX"/>
        </w:rPr>
        <w:t>del mismo instrumento, en perjuicio del señor Gabriel Óscar Jenkins.</w:t>
      </w:r>
    </w:p>
    <w:p w14:paraId="7D244760" w14:textId="77777777" w:rsidR="005B0504" w:rsidRPr="00F0074A" w:rsidRDefault="00241F90" w:rsidP="0010568E">
      <w:pPr>
        <w:pStyle w:val="Ttulo1"/>
        <w:rPr>
          <w:lang w:bidi="en-US"/>
        </w:rPr>
      </w:pPr>
      <w:bookmarkStart w:id="83" w:name="_Toc514172661"/>
      <w:bookmarkStart w:id="84" w:name="_Toc375517149"/>
      <w:bookmarkStart w:id="85" w:name="_Toc449460763"/>
      <w:bookmarkStart w:id="86" w:name="_Toc459158147"/>
      <w:bookmarkStart w:id="87" w:name="_Toc495658693"/>
      <w:bookmarkStart w:id="88" w:name="_Toc15933770"/>
      <w:bookmarkStart w:id="89" w:name="_Toc16270609"/>
      <w:bookmarkStart w:id="90" w:name="_Toc27405442"/>
      <w:r w:rsidRPr="00F0074A">
        <w:t>IX</w:t>
      </w:r>
      <w:r w:rsidR="005B0504" w:rsidRPr="00F0074A">
        <w:br/>
        <w:t>REPARACIONES</w:t>
      </w:r>
      <w:bookmarkStart w:id="91" w:name="_Toc495658707"/>
      <w:bookmarkStart w:id="92" w:name="_Toc470180115"/>
      <w:bookmarkStart w:id="93" w:name="_Toc459158160"/>
      <w:bookmarkStart w:id="94" w:name="_Toc375517156"/>
      <w:bookmarkStart w:id="95" w:name="_Toc514172675"/>
      <w:bookmarkStart w:id="96" w:name="_Toc15933784"/>
      <w:bookmarkStart w:id="97" w:name="_Toc16270623"/>
      <w:bookmarkEnd w:id="83"/>
      <w:bookmarkEnd w:id="84"/>
      <w:bookmarkEnd w:id="85"/>
      <w:bookmarkEnd w:id="86"/>
      <w:bookmarkEnd w:id="87"/>
      <w:bookmarkEnd w:id="88"/>
      <w:bookmarkEnd w:id="89"/>
      <w:bookmarkEnd w:id="90"/>
    </w:p>
    <w:p w14:paraId="73D320BD" w14:textId="77777777" w:rsidR="005B0504" w:rsidRPr="00F0074A" w:rsidRDefault="005B0504" w:rsidP="00E06F63">
      <w:pPr>
        <w:numPr>
          <w:ilvl w:val="0"/>
          <w:numId w:val="11"/>
        </w:numPr>
        <w:tabs>
          <w:tab w:val="left" w:pos="567"/>
          <w:tab w:val="num" w:pos="1569"/>
          <w:tab w:val="num" w:pos="12305"/>
        </w:tabs>
        <w:spacing w:line="240" w:lineRule="auto"/>
        <w:ind w:left="0" w:firstLine="0"/>
        <w:rPr>
          <w:lang w:bidi="en-US"/>
        </w:rPr>
      </w:pPr>
      <w:r w:rsidRPr="00F0074A">
        <w:rPr>
          <w:lang w:eastAsia="es-ES" w:bidi="en-US"/>
        </w:rPr>
        <w:t>Sobre</w:t>
      </w:r>
      <w:r w:rsidRPr="00F0074A">
        <w:rPr>
          <w:lang w:bidi="en-US"/>
        </w:rPr>
        <w:t xml:space="preserve"> </w:t>
      </w:r>
      <w:r w:rsidRPr="00F0074A">
        <w:rPr>
          <w:bCs/>
          <w:lang w:bidi="en-US"/>
        </w:rPr>
        <w:t>la</w:t>
      </w:r>
      <w:r w:rsidRPr="00F0074A">
        <w:rPr>
          <w:lang w:bidi="en-US"/>
        </w:rPr>
        <w:t xml:space="preserve"> base de lo dispuesto en el artículo 63.1 de la Convención Americana</w:t>
      </w:r>
      <w:r w:rsidRPr="00F0074A">
        <w:rPr>
          <w:vertAlign w:val="superscript"/>
          <w:lang w:bidi="en-US"/>
        </w:rPr>
        <w:footnoteReference w:id="121"/>
      </w:r>
      <w:r w:rsidRPr="00F0074A">
        <w:rPr>
          <w:lang w:bidi="en-US"/>
        </w:rPr>
        <w:t xml:space="preserve">, la Corte ha indicado que toda violación de una obligación internacional que haya producido daño comporta el deber de repararlo </w:t>
      </w:r>
      <w:r w:rsidRPr="00F0074A">
        <w:t>adecuadamente</w:t>
      </w:r>
      <w:r w:rsidRPr="00F0074A">
        <w:rPr>
          <w:lang w:bidi="en-US"/>
        </w:rPr>
        <w:t xml:space="preserve"> y que esa disposición recoge una norma consuetudinaria que constituye uno </w:t>
      </w:r>
      <w:r w:rsidRPr="00F0074A">
        <w:t>de</w:t>
      </w:r>
      <w:r w:rsidRPr="00F0074A">
        <w:rPr>
          <w:lang w:bidi="en-US"/>
        </w:rPr>
        <w:t xml:space="preserve"> los principios fundamentales del Derecho Internacional contemporáneo sobre responsabilidad de un Estado</w:t>
      </w:r>
      <w:r w:rsidRPr="00F0074A">
        <w:rPr>
          <w:vertAlign w:val="superscript"/>
          <w:lang w:bidi="en-US"/>
        </w:rPr>
        <w:footnoteReference w:id="122"/>
      </w:r>
      <w:r w:rsidRPr="00F0074A">
        <w:rPr>
          <w:lang w:bidi="en-US"/>
        </w:rPr>
        <w:t>.</w:t>
      </w:r>
    </w:p>
    <w:p w14:paraId="059BDE09" w14:textId="77777777" w:rsidR="00B21AF4" w:rsidRPr="00F0074A" w:rsidRDefault="00B21AF4" w:rsidP="00E06F63">
      <w:pPr>
        <w:pStyle w:val="Normal1"/>
        <w:widowControl/>
        <w:contextualSpacing/>
        <w:jc w:val="both"/>
        <w:rPr>
          <w:rFonts w:ascii="Verdana" w:hAnsi="Verdana"/>
          <w:sz w:val="20"/>
          <w:szCs w:val="20"/>
          <w:lang w:bidi="en-US"/>
        </w:rPr>
      </w:pPr>
    </w:p>
    <w:p w14:paraId="47A1BDFC" w14:textId="77777777" w:rsidR="005B0504" w:rsidRPr="00F0074A" w:rsidRDefault="005B0504" w:rsidP="00E06F63">
      <w:pPr>
        <w:numPr>
          <w:ilvl w:val="0"/>
          <w:numId w:val="11"/>
        </w:numPr>
        <w:tabs>
          <w:tab w:val="left" w:pos="567"/>
          <w:tab w:val="num" w:pos="1569"/>
          <w:tab w:val="num" w:pos="12305"/>
        </w:tabs>
        <w:spacing w:line="240" w:lineRule="auto"/>
        <w:ind w:left="0" w:firstLine="0"/>
        <w:rPr>
          <w:lang w:bidi="en-US"/>
        </w:rPr>
      </w:pPr>
      <w:r w:rsidRPr="00F0074A">
        <w:rPr>
          <w:bCs/>
          <w:lang w:bidi="en-US"/>
        </w:rPr>
        <w:t xml:space="preserve">La </w:t>
      </w:r>
      <w:r w:rsidRPr="00F0074A">
        <w:rPr>
          <w:lang w:eastAsia="es-ES" w:bidi="en-US"/>
        </w:rPr>
        <w:t>reparación</w:t>
      </w:r>
      <w:r w:rsidRPr="00F0074A">
        <w:rPr>
          <w:bCs/>
          <w:lang w:bidi="en-US"/>
        </w:rPr>
        <w:t xml:space="preserve"> del daño ocasionado por la infracción de una obligación internacional requiere, </w:t>
      </w:r>
      <w:r w:rsidRPr="00F0074A">
        <w:rPr>
          <w:lang w:val="es-ES" w:eastAsia="es-ES_tradnl"/>
        </w:rPr>
        <w:t>siempre</w:t>
      </w:r>
      <w:r w:rsidRPr="00F0074A">
        <w:rPr>
          <w:bCs/>
          <w:lang w:bidi="en-US"/>
        </w:rPr>
        <w:t xml:space="preserve"> que sea posible, la plena restitución (</w:t>
      </w:r>
      <w:r w:rsidRPr="00F0074A">
        <w:rPr>
          <w:bCs/>
          <w:i/>
          <w:lang w:bidi="en-US"/>
        </w:rPr>
        <w:t>restitutio in integrum</w:t>
      </w:r>
      <w:r w:rsidRPr="00F0074A">
        <w:rPr>
          <w:bCs/>
          <w:lang w:bidi="en-US"/>
        </w:rPr>
        <w:t xml:space="preserve">), que consiste en el restablecimiento de la </w:t>
      </w:r>
      <w:r w:rsidRPr="00F0074A">
        <w:t>situación</w:t>
      </w:r>
      <w:r w:rsidRPr="00F0074A">
        <w:rPr>
          <w:bCs/>
          <w:lang w:bidi="en-US"/>
        </w:rPr>
        <w:t xml:space="preserve"> anterior. De no ser esto factible, como ocurre en la mayoría de los casos de violaciones a derechos humanos, el Tribunal determinará medidas para garantizar los derechos conculcados y reparar las consecuencias que las infracciones produjeron</w:t>
      </w:r>
      <w:r w:rsidRPr="00F0074A">
        <w:rPr>
          <w:vertAlign w:val="superscript"/>
          <w:lang w:bidi="en-US"/>
        </w:rPr>
        <w:footnoteReference w:id="123"/>
      </w:r>
      <w:r w:rsidRPr="00F0074A">
        <w:rPr>
          <w:bCs/>
          <w:lang w:bidi="en-US"/>
        </w:rPr>
        <w:t xml:space="preserve">. Por tanto, </w:t>
      </w:r>
      <w:r w:rsidRPr="00F0074A">
        <w:rPr>
          <w:lang w:bidi="en-US"/>
        </w:rPr>
        <w:t xml:space="preserve">la Corte ha </w:t>
      </w:r>
      <w:r w:rsidRPr="00F0074A">
        <w:t>considerado</w:t>
      </w:r>
      <w:r w:rsidRPr="00F0074A">
        <w:rPr>
          <w:lang w:bidi="en-US"/>
        </w:rPr>
        <w:t xml:space="preserve"> la necesidad de otorgar diversas medidas de reparación a fin de resarcir los daños de manera integral por lo que, además de las compensaciones pecuniarias, las medidas de restitución, rehabilitación, satisfacción y garantías de no repetición tienen especial relevancia por los daños ocasionados</w:t>
      </w:r>
      <w:r w:rsidRPr="00F0074A">
        <w:rPr>
          <w:vertAlign w:val="superscript"/>
          <w:lang w:bidi="en-US"/>
        </w:rPr>
        <w:footnoteReference w:id="124"/>
      </w:r>
      <w:r w:rsidRPr="00F0074A">
        <w:rPr>
          <w:lang w:bidi="en-US"/>
        </w:rPr>
        <w:t>.</w:t>
      </w:r>
    </w:p>
    <w:p w14:paraId="230247A9" w14:textId="77777777" w:rsidR="00C12182" w:rsidRPr="00F0074A" w:rsidRDefault="00C12182" w:rsidP="00E06F63">
      <w:pPr>
        <w:pStyle w:val="Normal1"/>
        <w:widowControl/>
        <w:contextualSpacing/>
        <w:jc w:val="both"/>
        <w:rPr>
          <w:rFonts w:ascii="Verdana" w:hAnsi="Verdana"/>
          <w:sz w:val="20"/>
          <w:szCs w:val="20"/>
          <w:lang w:bidi="en-US"/>
        </w:rPr>
      </w:pPr>
    </w:p>
    <w:p w14:paraId="2983F371" w14:textId="77777777" w:rsidR="005B0504" w:rsidRPr="00F0074A" w:rsidRDefault="005B0504" w:rsidP="00E06F63">
      <w:pPr>
        <w:numPr>
          <w:ilvl w:val="0"/>
          <w:numId w:val="11"/>
        </w:numPr>
        <w:tabs>
          <w:tab w:val="left" w:pos="567"/>
          <w:tab w:val="num" w:pos="1569"/>
          <w:tab w:val="num" w:pos="12305"/>
        </w:tabs>
        <w:spacing w:line="240" w:lineRule="auto"/>
        <w:ind w:left="0" w:firstLine="0"/>
        <w:rPr>
          <w:lang w:bidi="en-US"/>
        </w:rPr>
      </w:pPr>
      <w:r w:rsidRPr="00F0074A">
        <w:rPr>
          <w:lang w:bidi="en-US"/>
        </w:rPr>
        <w:t xml:space="preserve">La </w:t>
      </w:r>
      <w:r w:rsidRPr="00F0074A">
        <w:rPr>
          <w:bCs/>
          <w:lang w:bidi="en-US"/>
        </w:rPr>
        <w:t>Corte</w:t>
      </w:r>
      <w:r w:rsidRPr="00F0074A">
        <w:rPr>
          <w:lang w:bidi="en-US"/>
        </w:rPr>
        <w:t xml:space="preserve"> ha establecido que las reparaciones deben tener un nexo causal con los hechos del caso, las violaciones declaradas, los daños acreditados, así como las medidas solicitadas para reparar los daños respectivos. </w:t>
      </w:r>
      <w:r w:rsidRPr="00F0074A">
        <w:t>Por</w:t>
      </w:r>
      <w:r w:rsidRPr="00F0074A">
        <w:rPr>
          <w:lang w:bidi="en-US"/>
        </w:rPr>
        <w:t xml:space="preserve"> lo tanto, la Corte deberá observar dicha concurrencia para pronunciarse debidamente y conforme a derecho</w:t>
      </w:r>
      <w:r w:rsidRPr="00F0074A">
        <w:rPr>
          <w:vertAlign w:val="superscript"/>
          <w:lang w:bidi="en-US"/>
        </w:rPr>
        <w:footnoteReference w:id="125"/>
      </w:r>
      <w:r w:rsidRPr="00F0074A">
        <w:rPr>
          <w:lang w:bidi="en-US"/>
        </w:rPr>
        <w:t>.</w:t>
      </w:r>
    </w:p>
    <w:p w14:paraId="461EEFBF" w14:textId="77777777" w:rsidR="00C12182" w:rsidRPr="00F0074A" w:rsidRDefault="00C12182" w:rsidP="00E06F63">
      <w:pPr>
        <w:pStyle w:val="Normal1"/>
        <w:widowControl/>
        <w:contextualSpacing/>
        <w:jc w:val="both"/>
        <w:rPr>
          <w:rFonts w:ascii="Verdana" w:hAnsi="Verdana"/>
          <w:sz w:val="20"/>
          <w:szCs w:val="20"/>
          <w:lang w:bidi="en-US"/>
        </w:rPr>
      </w:pPr>
    </w:p>
    <w:p w14:paraId="2BE046FB" w14:textId="77777777" w:rsidR="005B0504" w:rsidRPr="00F0074A" w:rsidRDefault="005B0504" w:rsidP="00E06F63">
      <w:pPr>
        <w:numPr>
          <w:ilvl w:val="0"/>
          <w:numId w:val="11"/>
        </w:numPr>
        <w:tabs>
          <w:tab w:val="left" w:pos="567"/>
          <w:tab w:val="num" w:pos="1569"/>
          <w:tab w:val="num" w:pos="12305"/>
        </w:tabs>
        <w:spacing w:line="240" w:lineRule="auto"/>
        <w:ind w:left="0" w:firstLine="0"/>
        <w:rPr>
          <w:lang w:bidi="en-US"/>
        </w:rPr>
      </w:pPr>
      <w:r w:rsidRPr="00F0074A">
        <w:t xml:space="preserve">Tomando en cuenta las violaciones a la Convención Americana declaradas en los capítulos </w:t>
      </w:r>
      <w:r w:rsidRPr="00F0074A">
        <w:rPr>
          <w:lang w:val="es-ES" w:eastAsia="es-ES_tradnl"/>
        </w:rPr>
        <w:t>anteriores</w:t>
      </w:r>
      <w:r w:rsidRPr="00F0074A">
        <w:t>, a la luz de los criterios fijados en la jurisprudencia del Tribunal en relación con la naturaleza y alcances de la obligación de reparar</w:t>
      </w:r>
      <w:r w:rsidRPr="00F0074A">
        <w:rPr>
          <w:rFonts w:eastAsia="Calibri"/>
          <w:vertAlign w:val="superscript"/>
        </w:rPr>
        <w:footnoteReference w:id="126"/>
      </w:r>
      <w:r w:rsidRPr="00F0074A">
        <w:t xml:space="preserve">, la Corte analizará las pretensiones presentadas por la Comisión y </w:t>
      </w:r>
      <w:r w:rsidR="003C63AC" w:rsidRPr="00F0074A">
        <w:t xml:space="preserve">los </w:t>
      </w:r>
      <w:r w:rsidR="00E80DB7" w:rsidRPr="00F0074A">
        <w:t>representantes</w:t>
      </w:r>
      <w:r w:rsidRPr="00F0074A">
        <w:t>, así como los argumentos del Estado al respecto, con el objeto de disponer a continuación las medidas tendientes a reparar dichas violaciones.</w:t>
      </w:r>
    </w:p>
    <w:p w14:paraId="43E6BDE3" w14:textId="69F2F045" w:rsidR="00390E2D" w:rsidRPr="00F0074A" w:rsidRDefault="00390E2D" w:rsidP="00390E2D">
      <w:pPr>
        <w:pStyle w:val="Ttulo2"/>
      </w:pPr>
      <w:bookmarkStart w:id="98" w:name="_Toc27405443"/>
      <w:bookmarkStart w:id="99" w:name="_Toc16270610"/>
      <w:bookmarkStart w:id="100" w:name="_Toc15933771"/>
      <w:r w:rsidRPr="00F0074A">
        <w:t>A.</w:t>
      </w:r>
      <w:r w:rsidRPr="00F0074A">
        <w:tab/>
      </w:r>
      <w:r>
        <w:t xml:space="preserve"> Parte lesionada</w:t>
      </w:r>
      <w:bookmarkEnd w:id="98"/>
    </w:p>
    <w:bookmarkEnd w:id="99"/>
    <w:bookmarkEnd w:id="100"/>
    <w:p w14:paraId="3B3C4411" w14:textId="77777777" w:rsidR="005B0504" w:rsidRPr="00F0074A" w:rsidRDefault="005B0504" w:rsidP="00E06F63">
      <w:pPr>
        <w:numPr>
          <w:ilvl w:val="0"/>
          <w:numId w:val="11"/>
        </w:numPr>
        <w:tabs>
          <w:tab w:val="left" w:pos="567"/>
          <w:tab w:val="num" w:pos="1569"/>
          <w:tab w:val="num" w:pos="12305"/>
        </w:tabs>
        <w:spacing w:line="240" w:lineRule="auto"/>
        <w:ind w:left="0" w:firstLine="0"/>
        <w:rPr>
          <w:lang w:val="es-ES" w:eastAsia="es-ES_tradnl"/>
        </w:rPr>
      </w:pPr>
      <w:r w:rsidRPr="00F0074A">
        <w:rPr>
          <w:lang w:val="es-ES" w:eastAsia="es-ES_tradnl"/>
        </w:rPr>
        <w:t xml:space="preserve">Este Tribunal considera parte lesionada, en los términos del artículo 63.1 de la </w:t>
      </w:r>
      <w:r w:rsidRPr="00F0074A">
        <w:t>Convención</w:t>
      </w:r>
      <w:r w:rsidRPr="00F0074A">
        <w:rPr>
          <w:lang w:val="es-ES" w:eastAsia="es-ES_tradnl"/>
        </w:rPr>
        <w:t xml:space="preserve"> a </w:t>
      </w:r>
      <w:r w:rsidRPr="00F0074A">
        <w:rPr>
          <w:lang w:eastAsia="es-ES" w:bidi="en-US"/>
        </w:rPr>
        <w:t>quienes</w:t>
      </w:r>
      <w:r w:rsidRPr="00F0074A">
        <w:rPr>
          <w:lang w:val="es-ES" w:eastAsia="es-ES_tradnl"/>
        </w:rPr>
        <w:t xml:space="preserve"> han </w:t>
      </w:r>
      <w:r w:rsidRPr="00F0074A">
        <w:t>sido</w:t>
      </w:r>
      <w:r w:rsidRPr="00F0074A">
        <w:rPr>
          <w:lang w:val="es-ES" w:eastAsia="es-ES_tradnl"/>
        </w:rPr>
        <w:t xml:space="preserve"> </w:t>
      </w:r>
      <w:r w:rsidRPr="00F0074A">
        <w:rPr>
          <w:lang w:eastAsia="es-ES" w:bidi="en-US"/>
        </w:rPr>
        <w:t>declaradas</w:t>
      </w:r>
      <w:r w:rsidRPr="00F0074A">
        <w:rPr>
          <w:lang w:val="es-ES" w:eastAsia="es-ES_tradnl"/>
        </w:rPr>
        <w:t xml:space="preserve"> víctimas de la violación de algún derecho reconocido en la misma. Por lo tanto, esta Corte </w:t>
      </w:r>
      <w:r w:rsidRPr="00F0074A">
        <w:t>considera</w:t>
      </w:r>
      <w:r w:rsidRPr="00F0074A">
        <w:rPr>
          <w:lang w:val="es-ES" w:eastAsia="es-ES_tradnl"/>
        </w:rPr>
        <w:t xml:space="preserve"> como “parte lesionada” </w:t>
      </w:r>
      <w:r w:rsidR="00B21AF4" w:rsidRPr="00F0074A">
        <w:rPr>
          <w:lang w:val="es-ES" w:eastAsia="es-ES_tradnl"/>
        </w:rPr>
        <w:t>al señor Gabriel Óscar Jenkins, quien</w:t>
      </w:r>
      <w:r w:rsidRPr="00F0074A">
        <w:rPr>
          <w:lang w:val="es-ES" w:eastAsia="es-ES_tradnl"/>
        </w:rPr>
        <w:t xml:space="preserve"> en su carácter de víctima de las violaciones declaradas en el capítulo </w:t>
      </w:r>
      <w:r w:rsidR="00CF2E39" w:rsidRPr="00F0074A">
        <w:rPr>
          <w:lang w:val="es-ES" w:eastAsia="es-ES_tradnl"/>
        </w:rPr>
        <w:t>VI</w:t>
      </w:r>
      <w:r w:rsidR="00A20EEE" w:rsidRPr="00F0074A">
        <w:rPr>
          <w:lang w:val="es-ES" w:eastAsia="es-ES_tradnl"/>
        </w:rPr>
        <w:t>I</w:t>
      </w:r>
      <w:r w:rsidR="00CF2E39" w:rsidRPr="00F0074A">
        <w:rPr>
          <w:lang w:val="es-ES" w:eastAsia="es-ES_tradnl"/>
        </w:rPr>
        <w:t>I</w:t>
      </w:r>
      <w:r w:rsidR="00B21AF4" w:rsidRPr="00F0074A">
        <w:rPr>
          <w:lang w:val="es-ES" w:eastAsia="es-ES_tradnl"/>
        </w:rPr>
        <w:t xml:space="preserve"> será beneficiario</w:t>
      </w:r>
      <w:r w:rsidRPr="00F0074A">
        <w:rPr>
          <w:lang w:val="es-ES" w:eastAsia="es-ES_tradnl"/>
        </w:rPr>
        <w:t xml:space="preserve"> de las reparaciones que la Corte ordene. </w:t>
      </w:r>
      <w:r w:rsidR="0061213A" w:rsidRPr="00F0074A">
        <w:rPr>
          <w:lang w:val="es-ES" w:eastAsia="es-ES_tradnl"/>
        </w:rPr>
        <w:t>En consecuencia, la Corte solo se referirá a los alegatos de las partes y la Comisión relativos al señor Jenkins, la persona que ha sido declarada víctima en el presente caso.</w:t>
      </w:r>
    </w:p>
    <w:p w14:paraId="795E6F7F" w14:textId="3B11D547" w:rsidR="00390E2D" w:rsidRDefault="00390E2D" w:rsidP="00390E2D">
      <w:pPr>
        <w:pStyle w:val="Ttulo2"/>
      </w:pPr>
      <w:bookmarkStart w:id="101" w:name="_Toc27405444"/>
      <w:bookmarkStart w:id="102" w:name="_Toc16270612"/>
      <w:bookmarkStart w:id="103" w:name="_Toc15933773"/>
      <w:r>
        <w:t>B</w:t>
      </w:r>
      <w:r w:rsidRPr="00F0074A">
        <w:t>.</w:t>
      </w:r>
      <w:r w:rsidRPr="00F0074A">
        <w:tab/>
      </w:r>
      <w:r>
        <w:t xml:space="preserve"> Medidas de rehabilitación y satisfacción</w:t>
      </w:r>
      <w:bookmarkEnd w:id="101"/>
    </w:p>
    <w:p w14:paraId="7562FC37" w14:textId="77777777" w:rsidR="0061213A" w:rsidRPr="00F0074A" w:rsidRDefault="00CD152D" w:rsidP="0061213A">
      <w:pPr>
        <w:pStyle w:val="Ttulo3"/>
      </w:pPr>
      <w:bookmarkStart w:id="104" w:name="_Toc16270613"/>
      <w:bookmarkStart w:id="105" w:name="_Toc15933774"/>
      <w:bookmarkStart w:id="106" w:name="_Toc15064198"/>
      <w:bookmarkStart w:id="107" w:name="_Toc27405445"/>
      <w:bookmarkEnd w:id="102"/>
      <w:bookmarkEnd w:id="103"/>
      <w:r w:rsidRPr="00F0074A">
        <w:t>b</w:t>
      </w:r>
      <w:r w:rsidR="005B0504" w:rsidRPr="00F0074A">
        <w:t>.1 Medidas de rehabilitación</w:t>
      </w:r>
      <w:bookmarkEnd w:id="104"/>
      <w:bookmarkEnd w:id="105"/>
      <w:bookmarkEnd w:id="106"/>
      <w:bookmarkEnd w:id="107"/>
    </w:p>
    <w:p w14:paraId="7172D33F" w14:textId="23B2B0BD" w:rsidR="0061213A" w:rsidRPr="00F0074A" w:rsidRDefault="0061213A" w:rsidP="0061213A">
      <w:pPr>
        <w:numPr>
          <w:ilvl w:val="0"/>
          <w:numId w:val="11"/>
        </w:numPr>
        <w:tabs>
          <w:tab w:val="left" w:pos="567"/>
          <w:tab w:val="num" w:pos="1569"/>
          <w:tab w:val="num" w:pos="12305"/>
        </w:tabs>
        <w:spacing w:line="240" w:lineRule="auto"/>
        <w:ind w:left="0" w:firstLine="0"/>
        <w:rPr>
          <w:rFonts w:eastAsia="MS Mincho"/>
          <w:lang w:bidi="en-US"/>
        </w:rPr>
      </w:pPr>
      <w:r w:rsidRPr="00F0074A">
        <w:rPr>
          <w:lang w:val="es-PE"/>
        </w:rPr>
        <w:t>La</w:t>
      </w:r>
      <w:r w:rsidRPr="00F0074A">
        <w:rPr>
          <w:b/>
          <w:lang w:val="es-PE"/>
        </w:rPr>
        <w:t xml:space="preserve"> </w:t>
      </w:r>
      <w:r w:rsidRPr="00F0074A">
        <w:rPr>
          <w:b/>
          <w:i/>
          <w:lang w:val="es-PE"/>
        </w:rPr>
        <w:t>Comisión</w:t>
      </w:r>
      <w:r w:rsidRPr="00F0074A">
        <w:rPr>
          <w:bCs/>
          <w:iCs/>
          <w:lang w:val="es-PE"/>
        </w:rPr>
        <w:t xml:space="preserve"> </w:t>
      </w:r>
      <w:r w:rsidRPr="00F0074A">
        <w:rPr>
          <w:rFonts w:eastAsia="MS Mincho"/>
          <w:lang w:bidi="en-US"/>
        </w:rPr>
        <w:t xml:space="preserve">solicitó que el Estado brindara de forma gratuita, inmediata y por el tiempo que sea necesario, </w:t>
      </w:r>
      <w:r w:rsidRPr="00F0074A">
        <w:t>el</w:t>
      </w:r>
      <w:r w:rsidRPr="00F0074A">
        <w:rPr>
          <w:rFonts w:eastAsia="MS Mincho"/>
          <w:lang w:bidi="en-US"/>
        </w:rPr>
        <w:t xml:space="preserve"> tratamiento de salud física o mental a la víctima del presente caso</w:t>
      </w:r>
      <w:r w:rsidR="005E759C" w:rsidRPr="00F0074A">
        <w:rPr>
          <w:rFonts w:eastAsia="MS Mincho"/>
          <w:lang w:bidi="en-US"/>
        </w:rPr>
        <w:t>,</w:t>
      </w:r>
      <w:r w:rsidRPr="00F0074A">
        <w:rPr>
          <w:rFonts w:eastAsia="MS Mincho"/>
          <w:lang w:bidi="en-US"/>
        </w:rPr>
        <w:t xml:space="preserve"> siempre que así lo solicite y de manera concertada con él. </w:t>
      </w:r>
    </w:p>
    <w:p w14:paraId="5D1F0F19" w14:textId="77777777" w:rsidR="0061213A" w:rsidRPr="00F0074A" w:rsidRDefault="0061213A" w:rsidP="0061213A">
      <w:pPr>
        <w:tabs>
          <w:tab w:val="left" w:pos="567"/>
          <w:tab w:val="num" w:pos="12305"/>
        </w:tabs>
        <w:spacing w:line="240" w:lineRule="auto"/>
        <w:rPr>
          <w:rFonts w:eastAsia="MS Mincho"/>
          <w:lang w:bidi="en-US"/>
        </w:rPr>
      </w:pPr>
    </w:p>
    <w:p w14:paraId="0B930BA0" w14:textId="1932FE3B" w:rsidR="0061213A" w:rsidRPr="00F0074A" w:rsidRDefault="0061213A" w:rsidP="0061213A">
      <w:pPr>
        <w:numPr>
          <w:ilvl w:val="0"/>
          <w:numId w:val="11"/>
        </w:numPr>
        <w:tabs>
          <w:tab w:val="left" w:pos="567"/>
          <w:tab w:val="num" w:pos="1569"/>
          <w:tab w:val="num" w:pos="12305"/>
        </w:tabs>
        <w:spacing w:line="240" w:lineRule="auto"/>
        <w:ind w:left="0" w:firstLine="0"/>
        <w:rPr>
          <w:rFonts w:eastAsiaTheme="minorHAnsi"/>
          <w:b/>
          <w:lang w:val="es-PE"/>
        </w:rPr>
      </w:pPr>
      <w:r w:rsidRPr="00F0074A">
        <w:rPr>
          <w:rFonts w:cs="Arial"/>
        </w:rPr>
        <w:t xml:space="preserve">Los </w:t>
      </w:r>
      <w:r w:rsidRPr="00F0074A">
        <w:rPr>
          <w:b/>
          <w:bCs/>
          <w:i/>
          <w:iCs/>
        </w:rPr>
        <w:t>representantes</w:t>
      </w:r>
      <w:r w:rsidRPr="00F0074A">
        <w:t xml:space="preserve"> </w:t>
      </w:r>
      <w:r w:rsidRPr="00F0074A">
        <w:rPr>
          <w:lang w:val="es-PE"/>
        </w:rPr>
        <w:t>solicitaron a la Corte que ordene que el Estado pague el tratamiento mental que se precise en una institución o facultativo que determine el señor Jenkins debido a</w:t>
      </w:r>
      <w:r w:rsidR="005E759C" w:rsidRPr="00F0074A">
        <w:rPr>
          <w:lang w:val="es-PE"/>
        </w:rPr>
        <w:t>l padecimiento emocional sufrido</w:t>
      </w:r>
      <w:r w:rsidRPr="00F0074A">
        <w:rPr>
          <w:lang w:val="es-PE"/>
        </w:rPr>
        <w:t xml:space="preserve">, manifestado en la ansiedad, angustia, incertidumbre, expectativa y frustración que un procedimiento judicial como el analizado en el presente caso genera en cualquier persona inocente. </w:t>
      </w:r>
    </w:p>
    <w:p w14:paraId="2331AEED" w14:textId="77777777" w:rsidR="0061213A" w:rsidRPr="00F0074A" w:rsidRDefault="0061213A" w:rsidP="0061213A">
      <w:pPr>
        <w:tabs>
          <w:tab w:val="left" w:pos="567"/>
          <w:tab w:val="num" w:pos="12305"/>
        </w:tabs>
        <w:spacing w:line="240" w:lineRule="auto"/>
        <w:rPr>
          <w:rFonts w:eastAsiaTheme="minorHAnsi"/>
          <w:b/>
          <w:lang w:val="es-PE"/>
        </w:rPr>
      </w:pPr>
    </w:p>
    <w:p w14:paraId="47AF9666" w14:textId="5D210A9A" w:rsidR="0061213A" w:rsidRPr="004658E1" w:rsidRDefault="0061213A" w:rsidP="009F2D9B">
      <w:pPr>
        <w:numPr>
          <w:ilvl w:val="0"/>
          <w:numId w:val="11"/>
        </w:numPr>
        <w:tabs>
          <w:tab w:val="left" w:pos="567"/>
          <w:tab w:val="num" w:pos="1569"/>
          <w:tab w:val="num" w:pos="12305"/>
        </w:tabs>
        <w:spacing w:line="240" w:lineRule="auto"/>
        <w:ind w:left="0" w:firstLine="0"/>
        <w:rPr>
          <w:b/>
          <w:lang w:val="es-PE"/>
        </w:rPr>
      </w:pPr>
      <w:r w:rsidRPr="004658E1">
        <w:rPr>
          <w:rFonts w:eastAsia="MS Mincho"/>
          <w:lang w:bidi="en-US"/>
        </w:rPr>
        <w:t xml:space="preserve">El </w:t>
      </w:r>
      <w:r w:rsidRPr="004658E1">
        <w:rPr>
          <w:rFonts w:eastAsia="MS Mincho"/>
          <w:b/>
          <w:i/>
          <w:lang w:bidi="en-US"/>
        </w:rPr>
        <w:t>Estado</w:t>
      </w:r>
      <w:r w:rsidRPr="004658E1">
        <w:rPr>
          <w:rFonts w:eastAsia="MS Mincho"/>
          <w:lang w:bidi="en-US"/>
        </w:rPr>
        <w:t xml:space="preserve"> </w:t>
      </w:r>
      <w:r w:rsidRPr="00F0074A">
        <w:t>aclaró</w:t>
      </w:r>
      <w:r w:rsidRPr="004658E1">
        <w:rPr>
          <w:rFonts w:eastAsia="MS Mincho"/>
          <w:lang w:bidi="en-US"/>
        </w:rPr>
        <w:t xml:space="preserve"> que el señor Jenkins tiene a disposición el sistema </w:t>
      </w:r>
      <w:r w:rsidR="005E759C" w:rsidRPr="004658E1">
        <w:rPr>
          <w:rFonts w:eastAsia="MS Mincho"/>
          <w:lang w:bidi="en-US"/>
        </w:rPr>
        <w:t>público</w:t>
      </w:r>
      <w:r w:rsidRPr="004658E1">
        <w:rPr>
          <w:rFonts w:eastAsia="MS Mincho"/>
          <w:lang w:bidi="en-US"/>
        </w:rPr>
        <w:t xml:space="preserve"> de salud que le brinda atención a todas las dolencias físicas y mentales que pueda padecer, en el que encontrara la debida asistencia con profesionales de la salud.</w:t>
      </w:r>
      <w:r w:rsidR="001A3D54" w:rsidRPr="004658E1">
        <w:rPr>
          <w:rFonts w:eastAsia="MS Mincho"/>
          <w:lang w:bidi="en-US"/>
        </w:rPr>
        <w:t xml:space="preserve"> </w:t>
      </w:r>
    </w:p>
    <w:p w14:paraId="57A08F2F" w14:textId="77777777" w:rsidR="004658E1" w:rsidRPr="004658E1" w:rsidRDefault="004658E1" w:rsidP="004658E1">
      <w:pPr>
        <w:tabs>
          <w:tab w:val="left" w:pos="567"/>
          <w:tab w:val="num" w:pos="12305"/>
        </w:tabs>
        <w:spacing w:line="240" w:lineRule="auto"/>
        <w:rPr>
          <w:b/>
          <w:lang w:val="es-PE"/>
        </w:rPr>
      </w:pPr>
    </w:p>
    <w:p w14:paraId="3629A0E5" w14:textId="14BA0897" w:rsidR="005E759C" w:rsidRPr="00F0074A" w:rsidRDefault="005E759C" w:rsidP="005E759C">
      <w:pPr>
        <w:numPr>
          <w:ilvl w:val="0"/>
          <w:numId w:val="11"/>
        </w:numPr>
        <w:tabs>
          <w:tab w:val="left" w:pos="567"/>
          <w:tab w:val="num" w:pos="1569"/>
          <w:tab w:val="num" w:pos="12305"/>
        </w:tabs>
        <w:spacing w:line="240" w:lineRule="auto"/>
        <w:ind w:left="0" w:firstLine="0"/>
        <w:rPr>
          <w:b/>
          <w:lang w:val="es-PE"/>
        </w:rPr>
      </w:pPr>
      <w:r w:rsidRPr="00F0074A">
        <w:rPr>
          <w:rFonts w:cs="Arial"/>
        </w:rPr>
        <w:t>A la vista de las violaciones declaradas en la presente sentencia, l</w:t>
      </w:r>
      <w:r w:rsidR="0061213A" w:rsidRPr="00F0074A">
        <w:rPr>
          <w:rFonts w:cs="Arial"/>
        </w:rPr>
        <w:t xml:space="preserve">a </w:t>
      </w:r>
      <w:r w:rsidR="0061213A" w:rsidRPr="00F0074A">
        <w:rPr>
          <w:rFonts w:cs="Arial"/>
          <w:b/>
          <w:bCs/>
          <w:i/>
          <w:iCs/>
        </w:rPr>
        <w:t>Corte</w:t>
      </w:r>
      <w:r w:rsidR="0061213A" w:rsidRPr="00F0074A">
        <w:rPr>
          <w:rFonts w:cs="Arial"/>
        </w:rPr>
        <w:t xml:space="preserve"> dispone la obligación a cargo del Estado de brindar gratuitamente y de forma inmediata el tratamiento psicológico que requiera el señor Jenkins, previo consentimiento informado, y por el tiempo que sea necesario, incluida la provisión gratuita de medicamentos.</w:t>
      </w:r>
    </w:p>
    <w:p w14:paraId="1C27F1AD" w14:textId="77777777" w:rsidR="00F94D74" w:rsidRPr="00F0074A" w:rsidRDefault="00CD152D" w:rsidP="00E06F63">
      <w:pPr>
        <w:pStyle w:val="Ttulo3"/>
      </w:pPr>
      <w:bookmarkStart w:id="108" w:name="_Toc16270614"/>
      <w:bookmarkStart w:id="109" w:name="_Toc15933775"/>
      <w:bookmarkStart w:id="110" w:name="_Toc15064199"/>
      <w:bookmarkStart w:id="111" w:name="_Toc27405446"/>
      <w:r w:rsidRPr="00F0074A">
        <w:t>b</w:t>
      </w:r>
      <w:r w:rsidR="005B0504" w:rsidRPr="00F0074A">
        <w:t>.2 Medidas de satisfacción</w:t>
      </w:r>
      <w:bookmarkEnd w:id="108"/>
      <w:bookmarkEnd w:id="109"/>
      <w:bookmarkEnd w:id="110"/>
      <w:bookmarkEnd w:id="111"/>
    </w:p>
    <w:p w14:paraId="436F4826" w14:textId="77777777" w:rsidR="003F37A6" w:rsidRPr="00F0074A" w:rsidRDefault="003F37A6" w:rsidP="004F183C">
      <w:pPr>
        <w:pStyle w:val="Ttulo4"/>
        <w:rPr>
          <w:b/>
          <w:bCs/>
        </w:rPr>
      </w:pPr>
      <w:r w:rsidRPr="00F0074A">
        <w:tab/>
        <w:t xml:space="preserve">(i) Publicación de la Sentencia </w:t>
      </w:r>
    </w:p>
    <w:p w14:paraId="1F2FAC87" w14:textId="45A1E4BA" w:rsidR="005E759C" w:rsidRPr="00F0074A" w:rsidRDefault="005E759C" w:rsidP="005E759C">
      <w:pPr>
        <w:numPr>
          <w:ilvl w:val="0"/>
          <w:numId w:val="11"/>
        </w:numPr>
        <w:tabs>
          <w:tab w:val="left" w:pos="567"/>
          <w:tab w:val="num" w:pos="1569"/>
          <w:tab w:val="num" w:pos="12305"/>
        </w:tabs>
        <w:spacing w:line="240" w:lineRule="auto"/>
        <w:ind w:left="0" w:firstLine="0"/>
        <w:rPr>
          <w:rFonts w:eastAsiaTheme="minorHAnsi"/>
          <w:b/>
          <w:lang w:val="es-PE"/>
        </w:rPr>
      </w:pPr>
      <w:r w:rsidRPr="00F0074A">
        <w:rPr>
          <w:rFonts w:cs="Arial"/>
        </w:rPr>
        <w:t xml:space="preserve">Los </w:t>
      </w:r>
      <w:r w:rsidRPr="00F0074A">
        <w:rPr>
          <w:b/>
          <w:bCs/>
          <w:i/>
          <w:iCs/>
        </w:rPr>
        <w:t>representantes</w:t>
      </w:r>
      <w:r w:rsidRPr="00F0074A">
        <w:t xml:space="preserve"> </w:t>
      </w:r>
      <w:r w:rsidRPr="00F0074A">
        <w:rPr>
          <w:lang w:val="es-PE"/>
        </w:rPr>
        <w:t xml:space="preserve">solicitaron a la Corte que el Estado publique el texto íntegro de la sentencia en el Diario Oficial, precedido por una publicación de reconocimiento de responsabilidad con título de disculpa pública. </w:t>
      </w:r>
    </w:p>
    <w:p w14:paraId="02FA7EE7" w14:textId="77777777" w:rsidR="005E759C" w:rsidRPr="00F0074A" w:rsidRDefault="005E759C" w:rsidP="005E759C">
      <w:pPr>
        <w:pStyle w:val="Normal1"/>
        <w:widowControl/>
        <w:jc w:val="both"/>
        <w:rPr>
          <w:rFonts w:ascii="Verdana" w:eastAsiaTheme="minorHAnsi" w:hAnsi="Verdana"/>
          <w:b/>
          <w:sz w:val="20"/>
          <w:szCs w:val="20"/>
          <w:lang w:val="es-PE"/>
        </w:rPr>
      </w:pPr>
    </w:p>
    <w:p w14:paraId="4A21E290" w14:textId="73687E04" w:rsidR="005E759C" w:rsidRPr="004658E1" w:rsidRDefault="005E759C" w:rsidP="009F2D9B">
      <w:pPr>
        <w:widowControl/>
        <w:numPr>
          <w:ilvl w:val="0"/>
          <w:numId w:val="11"/>
        </w:numPr>
        <w:tabs>
          <w:tab w:val="left" w:pos="567"/>
          <w:tab w:val="num" w:pos="1569"/>
          <w:tab w:val="num" w:pos="12305"/>
        </w:tabs>
        <w:spacing w:line="240" w:lineRule="auto"/>
        <w:ind w:left="0" w:firstLine="0"/>
        <w:rPr>
          <w:b/>
          <w:lang w:val="es-PE"/>
        </w:rPr>
      </w:pPr>
      <w:r w:rsidRPr="004658E1">
        <w:rPr>
          <w:rFonts w:eastAsia="MS Mincho"/>
          <w:lang w:bidi="en-US"/>
        </w:rPr>
        <w:t xml:space="preserve">El </w:t>
      </w:r>
      <w:r w:rsidRPr="004658E1">
        <w:rPr>
          <w:rFonts w:eastAsia="MS Mincho"/>
          <w:b/>
          <w:i/>
          <w:lang w:bidi="en-US"/>
        </w:rPr>
        <w:t>Estado</w:t>
      </w:r>
      <w:r w:rsidRPr="004658E1">
        <w:rPr>
          <w:rFonts w:eastAsia="MS Mincho"/>
          <w:lang w:bidi="en-US"/>
        </w:rPr>
        <w:t xml:space="preserve"> </w:t>
      </w:r>
      <w:r w:rsidRPr="00F0074A">
        <w:t>indicó</w:t>
      </w:r>
      <w:r w:rsidRPr="004658E1">
        <w:rPr>
          <w:rFonts w:eastAsia="MS Mincho"/>
          <w:lang w:bidi="en-US"/>
        </w:rPr>
        <w:t xml:space="preserve"> que la emisión y difusión de la sentencia en diversos medios serían medidas de reparación suficientes y </w:t>
      </w:r>
      <w:r w:rsidRPr="004658E1">
        <w:rPr>
          <w:rFonts w:cs="Arial"/>
        </w:rPr>
        <w:t>adecuadas</w:t>
      </w:r>
      <w:r w:rsidRPr="004658E1">
        <w:rPr>
          <w:rFonts w:eastAsia="MS Mincho"/>
          <w:lang w:bidi="en-US"/>
        </w:rPr>
        <w:t xml:space="preserve">. </w:t>
      </w:r>
    </w:p>
    <w:p w14:paraId="0AB7473B" w14:textId="77777777" w:rsidR="004658E1" w:rsidRPr="004658E1" w:rsidRDefault="004658E1" w:rsidP="004658E1">
      <w:pPr>
        <w:widowControl/>
        <w:tabs>
          <w:tab w:val="left" w:pos="567"/>
          <w:tab w:val="num" w:pos="12305"/>
        </w:tabs>
        <w:spacing w:line="240" w:lineRule="auto"/>
        <w:rPr>
          <w:b/>
          <w:lang w:val="es-PE"/>
        </w:rPr>
      </w:pPr>
    </w:p>
    <w:p w14:paraId="10FD865B" w14:textId="77777777" w:rsidR="005E759C" w:rsidRPr="00F0074A" w:rsidRDefault="005E759C" w:rsidP="005E759C">
      <w:pPr>
        <w:numPr>
          <w:ilvl w:val="0"/>
          <w:numId w:val="11"/>
        </w:numPr>
        <w:tabs>
          <w:tab w:val="left" w:pos="567"/>
          <w:tab w:val="num" w:pos="1569"/>
          <w:tab w:val="num" w:pos="12305"/>
        </w:tabs>
        <w:spacing w:line="240" w:lineRule="auto"/>
        <w:ind w:left="0" w:firstLine="0"/>
        <w:rPr>
          <w:b/>
          <w:lang w:val="es-PE"/>
        </w:rPr>
      </w:pPr>
      <w:r w:rsidRPr="00F0074A">
        <w:rPr>
          <w:lang w:val="es-PE"/>
        </w:rPr>
        <w:t>La</w:t>
      </w:r>
      <w:r w:rsidRPr="00F0074A">
        <w:rPr>
          <w:b/>
          <w:lang w:val="es-PE"/>
        </w:rPr>
        <w:t xml:space="preserve"> </w:t>
      </w:r>
      <w:r w:rsidRPr="00F0074A">
        <w:rPr>
          <w:b/>
          <w:i/>
          <w:lang w:val="es-PE"/>
        </w:rPr>
        <w:t xml:space="preserve">Comisión </w:t>
      </w:r>
      <w:r w:rsidRPr="00F0074A">
        <w:rPr>
          <w:lang w:val="es-PE"/>
        </w:rPr>
        <w:t xml:space="preserve">no se pronunció sobre este alegato. </w:t>
      </w:r>
    </w:p>
    <w:p w14:paraId="691814F1" w14:textId="77777777" w:rsidR="005E759C" w:rsidRPr="00F0074A" w:rsidRDefault="005E759C" w:rsidP="005E759C">
      <w:pPr>
        <w:pStyle w:val="Normal1"/>
        <w:widowControl/>
        <w:jc w:val="both"/>
        <w:rPr>
          <w:rFonts w:ascii="Verdana" w:eastAsiaTheme="minorHAnsi" w:hAnsi="Verdana" w:cs="Arial"/>
          <w:sz w:val="20"/>
          <w:szCs w:val="20"/>
          <w:lang w:val="es-PE"/>
        </w:rPr>
      </w:pPr>
    </w:p>
    <w:p w14:paraId="5BE8511E" w14:textId="2E570A10" w:rsidR="005E759C" w:rsidRPr="00F0074A" w:rsidRDefault="005E759C" w:rsidP="005E759C">
      <w:pPr>
        <w:numPr>
          <w:ilvl w:val="0"/>
          <w:numId w:val="11"/>
        </w:numPr>
        <w:tabs>
          <w:tab w:val="left" w:pos="567"/>
          <w:tab w:val="num" w:pos="1569"/>
          <w:tab w:val="num" w:pos="12305"/>
        </w:tabs>
        <w:spacing w:line="240" w:lineRule="auto"/>
        <w:ind w:left="0" w:firstLine="0"/>
        <w:rPr>
          <w:rFonts w:eastAsiaTheme="minorHAnsi" w:cs="Arial"/>
          <w:lang w:val="es-PE"/>
        </w:rPr>
      </w:pPr>
      <w:r w:rsidRPr="00F0074A">
        <w:rPr>
          <w:rFonts w:eastAsia="MS Mincho"/>
          <w:lang w:bidi="en-US"/>
        </w:rPr>
        <w:t>La</w:t>
      </w:r>
      <w:r w:rsidRPr="00F0074A">
        <w:rPr>
          <w:rFonts w:eastAsia="MS Mincho"/>
          <w:b/>
          <w:lang w:bidi="en-US"/>
        </w:rPr>
        <w:t xml:space="preserve"> </w:t>
      </w:r>
      <w:r w:rsidRPr="00F0074A">
        <w:rPr>
          <w:b/>
          <w:i/>
          <w:lang w:val="es-PE"/>
        </w:rPr>
        <w:t>Corte</w:t>
      </w:r>
      <w:r w:rsidRPr="00F0074A">
        <w:rPr>
          <w:rFonts w:eastAsia="MS Mincho"/>
          <w:b/>
          <w:lang w:val="es-PE" w:bidi="en-US"/>
        </w:rPr>
        <w:t xml:space="preserve"> </w:t>
      </w:r>
      <w:r w:rsidRPr="00F0074A">
        <w:rPr>
          <w:rFonts w:cs="Arial"/>
          <w:lang w:val="es-PE"/>
        </w:rPr>
        <w:t>dispone, como lo ha hecho en otros casos</w:t>
      </w:r>
      <w:r w:rsidRPr="00F0074A">
        <w:rPr>
          <w:rStyle w:val="Refdenotaalpie"/>
          <w:rFonts w:cs="Arial"/>
          <w:lang w:val="es-PE"/>
        </w:rPr>
        <w:footnoteReference w:id="127"/>
      </w:r>
      <w:r w:rsidRPr="00F0074A">
        <w:rPr>
          <w:lang w:val="es-PE"/>
        </w:rPr>
        <w:t xml:space="preserve">, que el Estado publique, en un plazo de seis meses, contado a partir de </w:t>
      </w:r>
      <w:r w:rsidRPr="00F0074A">
        <w:rPr>
          <w:rFonts w:eastAsia="MS Mincho"/>
          <w:lang w:bidi="en-US"/>
        </w:rPr>
        <w:t>la</w:t>
      </w:r>
      <w:r w:rsidRPr="00F0074A">
        <w:rPr>
          <w:lang w:val="es-PE"/>
        </w:rPr>
        <w:t xml:space="preserve"> notificación de la presente Sentencia: a) el resumen oficial de la presente Sentencia </w:t>
      </w:r>
      <w:r w:rsidRPr="00F0074A">
        <w:t>elaborado</w:t>
      </w:r>
      <w:r w:rsidRPr="00F0074A">
        <w:rPr>
          <w:lang w:val="es-PE"/>
        </w:rPr>
        <w:t xml:space="preserve"> por la Corte, por una sola vez, en un diario de amplia </w:t>
      </w:r>
      <w:r w:rsidRPr="00F0074A">
        <w:rPr>
          <w:rFonts w:eastAsia="MS Mincho"/>
          <w:lang w:bidi="en-US"/>
        </w:rPr>
        <w:t>circulación</w:t>
      </w:r>
      <w:r w:rsidRPr="00F0074A">
        <w:rPr>
          <w:lang w:val="es-PE"/>
        </w:rPr>
        <w:t xml:space="preserve"> nacional y en el diario oficial en un tamaño de letra legible y adecuado, y b) la presente Sentencia en su integridad, disponible al menos por un período de un año, en un sitio </w:t>
      </w:r>
      <w:r w:rsidRPr="00F0074A">
        <w:rPr>
          <w:i/>
          <w:lang w:val="es-PE"/>
        </w:rPr>
        <w:t>web</w:t>
      </w:r>
      <w:r w:rsidRPr="00F0074A">
        <w:rPr>
          <w:lang w:val="es-PE"/>
        </w:rPr>
        <w:t xml:space="preserve"> oficial del Estado. El Estado deberá informar de forma inmediata a este Tribunal una vez que proceda a realizar cada una de las publicaciones dispuestas, independientemente del plazo de un año para presentar su primer informe dispuesto en el punto resolutivo </w:t>
      </w:r>
      <w:r w:rsidR="00993B05">
        <w:rPr>
          <w:lang w:val="es-PE"/>
        </w:rPr>
        <w:t>14</w:t>
      </w:r>
      <w:r w:rsidRPr="00F0074A">
        <w:rPr>
          <w:lang w:val="es-PE"/>
        </w:rPr>
        <w:t xml:space="preserve"> de la presente Sentencia.</w:t>
      </w:r>
    </w:p>
    <w:p w14:paraId="6FFB5F6E" w14:textId="72BCB83D" w:rsidR="005B0504" w:rsidRPr="00F0074A" w:rsidRDefault="00310982" w:rsidP="003E34C2">
      <w:pPr>
        <w:pStyle w:val="Ttulo4"/>
        <w:ind w:firstLine="720"/>
      </w:pPr>
      <w:r w:rsidRPr="00F0074A">
        <w:t xml:space="preserve"> </w:t>
      </w:r>
      <w:r w:rsidR="003F37A6" w:rsidRPr="00F0074A">
        <w:t xml:space="preserve">(ii) </w:t>
      </w:r>
      <w:r w:rsidR="005B0504" w:rsidRPr="00F0074A">
        <w:t>Acto público de reconocimiento de responsabilidad internacional</w:t>
      </w:r>
    </w:p>
    <w:p w14:paraId="1988E038" w14:textId="34346BF0" w:rsidR="005E759C" w:rsidRPr="00F0074A" w:rsidRDefault="005E759C" w:rsidP="005E759C">
      <w:pPr>
        <w:numPr>
          <w:ilvl w:val="0"/>
          <w:numId w:val="11"/>
        </w:numPr>
        <w:tabs>
          <w:tab w:val="left" w:pos="567"/>
          <w:tab w:val="num" w:pos="1569"/>
          <w:tab w:val="num" w:pos="12305"/>
        </w:tabs>
        <w:spacing w:line="240" w:lineRule="auto"/>
        <w:ind w:left="0" w:firstLine="0"/>
        <w:rPr>
          <w:rFonts w:eastAsia="MS Mincho"/>
          <w:b/>
          <w:lang w:bidi="en-US"/>
        </w:rPr>
      </w:pPr>
      <w:r w:rsidRPr="00F0074A">
        <w:rPr>
          <w:rFonts w:eastAsia="MS Mincho"/>
          <w:lang w:bidi="en-US"/>
        </w:rPr>
        <w:t xml:space="preserve">Los </w:t>
      </w:r>
      <w:r w:rsidRPr="00F0074A">
        <w:rPr>
          <w:b/>
          <w:bCs/>
          <w:i/>
          <w:iCs/>
        </w:rPr>
        <w:t>representantes</w:t>
      </w:r>
      <w:r w:rsidRPr="00F0074A">
        <w:rPr>
          <w:rFonts w:eastAsia="MS Mincho"/>
          <w:lang w:bidi="en-US"/>
        </w:rPr>
        <w:t xml:space="preserve"> solicitaron</w:t>
      </w:r>
      <w:r w:rsidRPr="00F0074A">
        <w:rPr>
          <w:rFonts w:eastAsia="MS Mincho"/>
          <w:b/>
          <w:i/>
          <w:lang w:bidi="en-US"/>
        </w:rPr>
        <w:t xml:space="preserve"> </w:t>
      </w:r>
      <w:r w:rsidRPr="00F0074A">
        <w:rPr>
          <w:rFonts w:eastAsia="MS Mincho"/>
          <w:lang w:bidi="en-US"/>
        </w:rPr>
        <w:t xml:space="preserve">que la Corte ordene al Estado la </w:t>
      </w:r>
      <w:r w:rsidRPr="00F0074A">
        <w:rPr>
          <w:rFonts w:cs="Arial"/>
        </w:rPr>
        <w:t xml:space="preserve">realización de un acto de disculpa pública hacia el señor Jenkins por parte del funcionario que ostente la representación institucional de la Función Judicial del Estado argentino. Los representantes solicitaron también que la Corte disponga que </w:t>
      </w:r>
      <w:r w:rsidRPr="00F0074A">
        <w:rPr>
          <w:rFonts w:eastAsia="MS Mincho"/>
          <w:lang w:bidi="en-US"/>
        </w:rPr>
        <w:t>el</w:t>
      </w:r>
      <w:r w:rsidRPr="00F0074A">
        <w:rPr>
          <w:rFonts w:cs="Arial"/>
        </w:rPr>
        <w:t xml:space="preserve"> Estado realice, a través de su Ministerio de Justicia, una ceremonia pública de desagravio en favor del señor Jenkins. </w:t>
      </w:r>
    </w:p>
    <w:p w14:paraId="330E957E" w14:textId="77777777" w:rsidR="005E759C" w:rsidRPr="00F0074A" w:rsidRDefault="005E759C" w:rsidP="005E759C">
      <w:pPr>
        <w:pStyle w:val="Normal1"/>
        <w:widowControl/>
        <w:jc w:val="both"/>
        <w:rPr>
          <w:rFonts w:ascii="Verdana" w:eastAsia="MS Mincho" w:hAnsi="Verdana"/>
          <w:b/>
          <w:sz w:val="20"/>
          <w:szCs w:val="20"/>
          <w:lang w:bidi="en-US"/>
        </w:rPr>
      </w:pPr>
    </w:p>
    <w:p w14:paraId="5189D1BF" w14:textId="58E7256B" w:rsidR="005E759C" w:rsidRPr="004658E1" w:rsidRDefault="005E759C" w:rsidP="005E759C">
      <w:pPr>
        <w:numPr>
          <w:ilvl w:val="0"/>
          <w:numId w:val="11"/>
        </w:numPr>
        <w:tabs>
          <w:tab w:val="left" w:pos="567"/>
          <w:tab w:val="num" w:pos="1569"/>
          <w:tab w:val="num" w:pos="12305"/>
        </w:tabs>
        <w:spacing w:line="240" w:lineRule="auto"/>
        <w:ind w:left="0" w:firstLine="0"/>
        <w:rPr>
          <w:rFonts w:eastAsiaTheme="minorHAnsi"/>
          <w:b/>
          <w:lang w:val="es-PE"/>
        </w:rPr>
      </w:pPr>
      <w:r w:rsidRPr="00F0074A">
        <w:rPr>
          <w:rFonts w:eastAsia="MS Mincho"/>
          <w:lang w:bidi="en-US"/>
        </w:rPr>
        <w:t>Tal y como se señaló anteriormente (</w:t>
      </w:r>
      <w:r w:rsidRPr="00DD58CA">
        <w:rPr>
          <w:rFonts w:eastAsia="MS Mincho"/>
          <w:i/>
          <w:lang w:bidi="en-US"/>
        </w:rPr>
        <w:t>supra</w:t>
      </w:r>
      <w:r w:rsidRPr="00F0074A">
        <w:rPr>
          <w:rFonts w:eastAsia="MS Mincho"/>
          <w:lang w:bidi="en-US"/>
        </w:rPr>
        <w:t xml:space="preserve"> párr. </w:t>
      </w:r>
      <w:r w:rsidR="00651F1A">
        <w:rPr>
          <w:rFonts w:eastAsia="MS Mincho"/>
          <w:lang w:bidi="en-US"/>
        </w:rPr>
        <w:t>132</w:t>
      </w:r>
      <w:r w:rsidRPr="00F0074A">
        <w:rPr>
          <w:rFonts w:eastAsia="MS Mincho"/>
          <w:lang w:bidi="en-US"/>
        </w:rPr>
        <w:t>), el</w:t>
      </w:r>
      <w:r w:rsidRPr="00F0074A">
        <w:rPr>
          <w:rFonts w:eastAsia="MS Mincho"/>
          <w:b/>
          <w:lang w:bidi="en-US"/>
        </w:rPr>
        <w:t xml:space="preserve"> </w:t>
      </w:r>
      <w:r w:rsidRPr="00F0074A">
        <w:rPr>
          <w:rFonts w:eastAsia="MS Mincho"/>
          <w:b/>
          <w:i/>
          <w:lang w:bidi="en-US"/>
        </w:rPr>
        <w:t>Estado</w:t>
      </w:r>
      <w:r w:rsidRPr="00F0074A">
        <w:rPr>
          <w:rFonts w:eastAsia="MS Mincho"/>
          <w:b/>
          <w:lang w:bidi="en-US"/>
        </w:rPr>
        <w:t xml:space="preserve"> </w:t>
      </w:r>
      <w:r w:rsidRPr="00F0074A">
        <w:t>alegó</w:t>
      </w:r>
      <w:r w:rsidRPr="00F0074A">
        <w:rPr>
          <w:lang w:val="es-PE"/>
        </w:rPr>
        <w:t xml:space="preserve"> que </w:t>
      </w:r>
      <w:r w:rsidRPr="00F0074A">
        <w:rPr>
          <w:rFonts w:eastAsia="MS Mincho"/>
          <w:lang w:bidi="en-US"/>
        </w:rPr>
        <w:t xml:space="preserve">la emisión y difusión en de la sentencia en diversos medios serían medidas de reparación suficientes y adecuadas. </w:t>
      </w:r>
    </w:p>
    <w:p w14:paraId="2F407776" w14:textId="77777777" w:rsidR="005E759C" w:rsidRPr="00F0074A" w:rsidRDefault="005E759C" w:rsidP="005E759C">
      <w:pPr>
        <w:pStyle w:val="Normal1"/>
        <w:widowControl/>
        <w:jc w:val="both"/>
        <w:rPr>
          <w:rFonts w:ascii="Verdana" w:eastAsiaTheme="minorHAnsi" w:hAnsi="Verdana"/>
          <w:b/>
          <w:sz w:val="20"/>
          <w:szCs w:val="20"/>
          <w:lang w:val="es-PE"/>
        </w:rPr>
      </w:pPr>
    </w:p>
    <w:p w14:paraId="5733B2FF" w14:textId="77777777" w:rsidR="005E759C" w:rsidRPr="00F0074A" w:rsidRDefault="005E759C" w:rsidP="005E759C">
      <w:pPr>
        <w:numPr>
          <w:ilvl w:val="0"/>
          <w:numId w:val="11"/>
        </w:numPr>
        <w:tabs>
          <w:tab w:val="left" w:pos="567"/>
          <w:tab w:val="num" w:pos="1569"/>
          <w:tab w:val="num" w:pos="12305"/>
        </w:tabs>
        <w:spacing w:line="240" w:lineRule="auto"/>
        <w:ind w:left="0" w:firstLine="0"/>
        <w:rPr>
          <w:rFonts w:eastAsiaTheme="minorHAnsi"/>
          <w:b/>
          <w:lang w:val="es-PE"/>
        </w:rPr>
      </w:pPr>
      <w:r w:rsidRPr="00F0074A">
        <w:rPr>
          <w:lang w:val="es-PE"/>
        </w:rPr>
        <w:t>La</w:t>
      </w:r>
      <w:r w:rsidRPr="00F0074A">
        <w:rPr>
          <w:b/>
          <w:lang w:val="es-PE"/>
        </w:rPr>
        <w:t xml:space="preserve"> </w:t>
      </w:r>
      <w:r w:rsidRPr="00F0074A">
        <w:rPr>
          <w:b/>
          <w:i/>
          <w:lang w:val="es-PE"/>
        </w:rPr>
        <w:t xml:space="preserve">Comisión </w:t>
      </w:r>
      <w:r w:rsidRPr="00F0074A">
        <w:rPr>
          <w:lang w:val="es-PE"/>
        </w:rPr>
        <w:t xml:space="preserve">no se </w:t>
      </w:r>
      <w:r w:rsidRPr="00F0074A">
        <w:rPr>
          <w:rFonts w:eastAsia="MS Mincho"/>
          <w:lang w:bidi="en-US"/>
        </w:rPr>
        <w:t>pronunció</w:t>
      </w:r>
      <w:r w:rsidRPr="00F0074A">
        <w:rPr>
          <w:lang w:val="es-PE"/>
        </w:rPr>
        <w:t xml:space="preserve"> sobre este alegato. </w:t>
      </w:r>
    </w:p>
    <w:p w14:paraId="7566C543" w14:textId="77777777" w:rsidR="005E759C" w:rsidRPr="00F0074A" w:rsidRDefault="005E759C" w:rsidP="005E759C">
      <w:pPr>
        <w:pStyle w:val="Normal1"/>
        <w:widowControl/>
        <w:jc w:val="both"/>
        <w:rPr>
          <w:rFonts w:ascii="Verdana" w:hAnsi="Verdana"/>
          <w:b/>
          <w:sz w:val="20"/>
          <w:szCs w:val="20"/>
          <w:lang w:val="es-PE"/>
        </w:rPr>
      </w:pPr>
    </w:p>
    <w:p w14:paraId="02AA9960" w14:textId="77777777" w:rsidR="005E759C" w:rsidRPr="00F0074A" w:rsidRDefault="005E759C" w:rsidP="005E759C">
      <w:pPr>
        <w:numPr>
          <w:ilvl w:val="0"/>
          <w:numId w:val="11"/>
        </w:numPr>
        <w:tabs>
          <w:tab w:val="left" w:pos="567"/>
          <w:tab w:val="num" w:pos="1569"/>
          <w:tab w:val="num" w:pos="12305"/>
        </w:tabs>
        <w:spacing w:line="240" w:lineRule="auto"/>
        <w:ind w:left="0" w:firstLine="0"/>
        <w:rPr>
          <w:b/>
          <w:lang w:val="es-PE"/>
        </w:rPr>
      </w:pPr>
      <w:r w:rsidRPr="00F0074A">
        <w:rPr>
          <w:rFonts w:eastAsia="MS Mincho"/>
          <w:lang w:bidi="en-US"/>
        </w:rPr>
        <w:t>La</w:t>
      </w:r>
      <w:r w:rsidRPr="00F0074A">
        <w:rPr>
          <w:rFonts w:eastAsia="MS Mincho"/>
          <w:b/>
          <w:lang w:bidi="en-US"/>
        </w:rPr>
        <w:t xml:space="preserve"> </w:t>
      </w:r>
      <w:r w:rsidRPr="00F0074A">
        <w:rPr>
          <w:b/>
          <w:i/>
          <w:lang w:val="es-PE"/>
        </w:rPr>
        <w:t>Corte</w:t>
      </w:r>
      <w:r w:rsidRPr="00F0074A">
        <w:rPr>
          <w:rFonts w:eastAsia="MS Mincho"/>
          <w:b/>
          <w:lang w:val="es-PE" w:bidi="en-US"/>
        </w:rPr>
        <w:t xml:space="preserve"> </w:t>
      </w:r>
      <w:r w:rsidRPr="00F0074A">
        <w:rPr>
          <w:rFonts w:eastAsia="MS Mincho"/>
          <w:lang w:bidi="en-US"/>
        </w:rPr>
        <w:t>considera</w:t>
      </w:r>
      <w:r w:rsidRPr="00F0074A">
        <w:rPr>
          <w:lang w:val="es-PE"/>
        </w:rPr>
        <w:t xml:space="preserve"> que la emisión de la presente Sentencia y las reparaciones ordenadas en la misma resultan suficientes y adecuadas.</w:t>
      </w:r>
    </w:p>
    <w:p w14:paraId="4BE23AF4" w14:textId="6F3779D0" w:rsidR="00390E2D" w:rsidRPr="00F0074A" w:rsidRDefault="00390E2D" w:rsidP="00390E2D">
      <w:pPr>
        <w:pStyle w:val="Ttulo2"/>
      </w:pPr>
      <w:bookmarkStart w:id="112" w:name="_Toc27405447"/>
      <w:r>
        <w:t>C</w:t>
      </w:r>
      <w:r w:rsidRPr="00F0074A">
        <w:t>.</w:t>
      </w:r>
      <w:r w:rsidRPr="00F0074A">
        <w:tab/>
      </w:r>
      <w:r>
        <w:t xml:space="preserve"> Otras medidas solicitadas</w:t>
      </w:r>
      <w:bookmarkEnd w:id="112"/>
    </w:p>
    <w:p w14:paraId="285F0CED" w14:textId="43000CC4" w:rsidR="0040223B" w:rsidRPr="00F0074A" w:rsidRDefault="0040223B" w:rsidP="0040223B">
      <w:pPr>
        <w:numPr>
          <w:ilvl w:val="0"/>
          <w:numId w:val="11"/>
        </w:numPr>
        <w:tabs>
          <w:tab w:val="left" w:pos="567"/>
          <w:tab w:val="num" w:pos="1569"/>
          <w:tab w:val="num" w:pos="12305"/>
        </w:tabs>
        <w:spacing w:line="240" w:lineRule="auto"/>
        <w:ind w:left="0" w:firstLine="0"/>
      </w:pPr>
      <w:r w:rsidRPr="00F0074A">
        <w:rPr>
          <w:lang w:val="es-PE"/>
        </w:rPr>
        <w:t>La</w:t>
      </w:r>
      <w:r w:rsidRPr="00F0074A">
        <w:rPr>
          <w:b/>
          <w:lang w:val="es-PE"/>
        </w:rPr>
        <w:t xml:space="preserve"> </w:t>
      </w:r>
      <w:r w:rsidRPr="00F0074A">
        <w:rPr>
          <w:rFonts w:eastAsia="MS Mincho"/>
          <w:b/>
          <w:i/>
          <w:iCs/>
          <w:lang w:bidi="en-US"/>
        </w:rPr>
        <w:t>Comisión</w:t>
      </w:r>
      <w:r w:rsidRPr="00F0074A">
        <w:rPr>
          <w:b/>
          <w:i/>
          <w:lang w:val="es-PE"/>
        </w:rPr>
        <w:t xml:space="preserve"> </w:t>
      </w:r>
      <w:r w:rsidRPr="00F0074A">
        <w:t>solicitó que el Estado adecúe su legislación interna conforme a los estándares descritos en su Informe de Fondo en materia de detención preventiva. En particular, la Comisión solicitó que s</w:t>
      </w:r>
      <w:r w:rsidR="00416AAE">
        <w:t>e ordene al Estado asegurar que</w:t>
      </w:r>
      <w:r w:rsidRPr="00F0074A">
        <w:t xml:space="preserve"> </w:t>
      </w:r>
      <w:r w:rsidR="00416AAE">
        <w:t>(</w:t>
      </w:r>
      <w:r w:rsidRPr="00F0074A">
        <w:t>i) la detención preventiva se aplique de manera excepcional</w:t>
      </w:r>
      <w:r w:rsidR="00416AAE">
        <w:t>,</w:t>
      </w:r>
      <w:r w:rsidRPr="00F0074A">
        <w:t xml:space="preserve"> </w:t>
      </w:r>
      <w:r w:rsidR="00416AAE">
        <w:t>(</w:t>
      </w:r>
      <w:r w:rsidRPr="00F0074A">
        <w:t>ii) la detención preventiva se encuentre limitada por los principios de legalidad, presunción de inocencia, necesidad y proporcionalidad</w:t>
      </w:r>
      <w:r w:rsidR="00416AAE">
        <w:t>,</w:t>
      </w:r>
      <w:r w:rsidRPr="00F0074A">
        <w:t xml:space="preserve"> y </w:t>
      </w:r>
      <w:r w:rsidR="00416AAE">
        <w:t>(</w:t>
      </w:r>
      <w:r w:rsidRPr="00F0074A">
        <w:t xml:space="preserve">iii) no exista diferencia de trato con relación a los dos puntos anteriores con base a la naturaleza del delito. </w:t>
      </w:r>
    </w:p>
    <w:p w14:paraId="617FB238" w14:textId="77777777" w:rsidR="0040223B" w:rsidRPr="00F0074A" w:rsidRDefault="0040223B" w:rsidP="0040223B">
      <w:pPr>
        <w:tabs>
          <w:tab w:val="left" w:pos="567"/>
        </w:tabs>
        <w:spacing w:line="240" w:lineRule="auto"/>
      </w:pPr>
    </w:p>
    <w:p w14:paraId="7AE4EB2D" w14:textId="73F68767" w:rsidR="0040223B" w:rsidRPr="00F0074A" w:rsidRDefault="0040223B" w:rsidP="0040223B">
      <w:pPr>
        <w:numPr>
          <w:ilvl w:val="0"/>
          <w:numId w:val="11"/>
        </w:numPr>
        <w:tabs>
          <w:tab w:val="left" w:pos="567"/>
          <w:tab w:val="num" w:pos="1569"/>
          <w:tab w:val="num" w:pos="12305"/>
        </w:tabs>
        <w:spacing w:line="240" w:lineRule="auto"/>
        <w:ind w:left="0" w:firstLine="0"/>
      </w:pPr>
      <w:r w:rsidRPr="00F0074A">
        <w:rPr>
          <w:rFonts w:eastAsia="MS Mincho"/>
          <w:lang w:bidi="en-US"/>
        </w:rPr>
        <w:t xml:space="preserve">Los </w:t>
      </w:r>
      <w:r w:rsidRPr="00F0074A">
        <w:rPr>
          <w:b/>
          <w:i/>
          <w:lang w:val="es-PE"/>
        </w:rPr>
        <w:t>representantes</w:t>
      </w:r>
      <w:r w:rsidRPr="00F0074A">
        <w:rPr>
          <w:rFonts w:eastAsia="MS Mincho"/>
          <w:lang w:bidi="en-US"/>
        </w:rPr>
        <w:t xml:space="preserve"> solicitaron</w:t>
      </w:r>
      <w:r w:rsidRPr="00F0074A">
        <w:rPr>
          <w:rFonts w:eastAsia="MS Mincho"/>
          <w:b/>
          <w:i/>
          <w:lang w:bidi="en-US"/>
        </w:rPr>
        <w:t xml:space="preserve"> </w:t>
      </w:r>
      <w:r w:rsidRPr="00F0074A">
        <w:rPr>
          <w:rFonts w:eastAsia="MS Mincho"/>
          <w:lang w:bidi="en-US"/>
        </w:rPr>
        <w:t>que la Corte ordene al Estado la adecuación de su legislación interna del Estado a los pactos y convenios internacionales suscritos, derogando las leyes que atenten contra los principios procesales ya analizados. En específico, los representantes solicitaron la derogación del artículo 11 [</w:t>
      </w:r>
      <w:r w:rsidRPr="00F0074A">
        <w:rPr>
          <w:rFonts w:eastAsia="MS Mincho"/>
          <w:i/>
          <w:lang w:bidi="en-US"/>
        </w:rPr>
        <w:t>sic</w:t>
      </w:r>
      <w:r w:rsidRPr="00F0074A">
        <w:rPr>
          <w:rFonts w:eastAsia="MS Mincho"/>
          <w:lang w:bidi="en-US"/>
        </w:rPr>
        <w:t>] de la Ley</w:t>
      </w:r>
      <w:r w:rsidR="001A3D54">
        <w:rPr>
          <w:rFonts w:eastAsia="MS Mincho"/>
          <w:lang w:bidi="en-US"/>
        </w:rPr>
        <w:t xml:space="preserve"> </w:t>
      </w:r>
      <w:r w:rsidR="00537440">
        <w:rPr>
          <w:rFonts w:eastAsia="MS Mincho"/>
          <w:lang w:bidi="en-US"/>
        </w:rPr>
        <w:t xml:space="preserve">No. </w:t>
      </w:r>
      <w:r w:rsidRPr="00F0074A">
        <w:rPr>
          <w:rFonts w:eastAsia="MS Mincho"/>
          <w:lang w:bidi="en-US"/>
        </w:rPr>
        <w:t xml:space="preserve">24.390 y toda ley que permita o establezca la existencia de delitos excarcelables, presumiendo de derecho la culpabilidad del imputado y utilizando una medida cautelar de última </w:t>
      </w:r>
      <w:r w:rsidRPr="00F0074A">
        <w:rPr>
          <w:rFonts w:eastAsia="MS Mincho"/>
          <w:i/>
          <w:lang w:bidi="en-US"/>
        </w:rPr>
        <w:t>ratio</w:t>
      </w:r>
      <w:r w:rsidRPr="00F0074A">
        <w:rPr>
          <w:rFonts w:eastAsia="MS Mincho"/>
          <w:lang w:bidi="en-US"/>
        </w:rPr>
        <w:t xml:space="preserve"> como pena anticipada. Los representantes agregaron que es importante que se disponga de todas las medidas necesarias para dar cumplimiento a las garantías en el artículo 7.5 de la Convención, y, específicamente con respecto a dicho artículo, fijar un plazo perentorio para la terminación de la detención o prisión preventiva. </w:t>
      </w:r>
    </w:p>
    <w:p w14:paraId="3B1F1F93" w14:textId="77777777" w:rsidR="0040223B" w:rsidRPr="00F0074A" w:rsidRDefault="0040223B" w:rsidP="0040223B">
      <w:pPr>
        <w:tabs>
          <w:tab w:val="left" w:pos="567"/>
        </w:tabs>
        <w:spacing w:line="240" w:lineRule="auto"/>
      </w:pPr>
    </w:p>
    <w:p w14:paraId="340B188E" w14:textId="423EB7E9" w:rsidR="0040223B" w:rsidRPr="00F0074A" w:rsidRDefault="00DD58CA" w:rsidP="0040223B">
      <w:pPr>
        <w:numPr>
          <w:ilvl w:val="0"/>
          <w:numId w:val="11"/>
        </w:numPr>
        <w:tabs>
          <w:tab w:val="left" w:pos="567"/>
          <w:tab w:val="num" w:pos="1569"/>
          <w:tab w:val="num" w:pos="12305"/>
        </w:tabs>
        <w:spacing w:line="240" w:lineRule="auto"/>
        <w:ind w:left="0" w:firstLine="0"/>
      </w:pPr>
      <w:r>
        <w:t>Asimismo, l</w:t>
      </w:r>
      <w:r w:rsidR="0040223B" w:rsidRPr="00F0074A">
        <w:t xml:space="preserve">os representantes solicitaron que se ordenara al Estado iniciar una discusión acerca del sistema procesal vigente, su implicancia y trascendencia en un Estado Democrático de Derecho, conociendo las diferentes experiencias en derecho comparado para que permitan mejorar no </w:t>
      </w:r>
      <w:r w:rsidR="0040223B" w:rsidRPr="00F0074A">
        <w:rPr>
          <w:rFonts w:eastAsia="MS Mincho"/>
          <w:lang w:bidi="en-US"/>
        </w:rPr>
        <w:t>sólo</w:t>
      </w:r>
      <w:r w:rsidR="0040223B" w:rsidRPr="00F0074A">
        <w:t xml:space="preserve"> el acceso a la justicia, sino que también se promueva su modernización a través de proyectos como el “proyecto inocente”. Además, los representantes solicitaron </w:t>
      </w:r>
      <w:r w:rsidR="0040223B" w:rsidRPr="00F0074A">
        <w:rPr>
          <w:rStyle w:val="fontstyle01"/>
          <w:rFonts w:ascii="Verdana" w:hAnsi="Verdana"/>
          <w:sz w:val="20"/>
          <w:szCs w:val="20"/>
        </w:rPr>
        <w:t>que el Estado cumpla con lo dispuesto en la legislación interna e</w:t>
      </w:r>
      <w:r w:rsidR="0040223B" w:rsidRPr="00F0074A">
        <w:rPr>
          <w:color w:val="000000"/>
        </w:rPr>
        <w:t xml:space="preserve"> </w:t>
      </w:r>
      <w:r w:rsidR="0040223B" w:rsidRPr="00F0074A">
        <w:rPr>
          <w:rStyle w:val="fontstyle01"/>
          <w:rFonts w:ascii="Verdana" w:hAnsi="Verdana"/>
          <w:sz w:val="20"/>
          <w:szCs w:val="20"/>
        </w:rPr>
        <w:t>internacional acerca de dónde deben ser alojados los procesados</w:t>
      </w:r>
      <w:r w:rsidR="0040223B" w:rsidRPr="00F0074A">
        <w:rPr>
          <w:color w:val="000000"/>
        </w:rPr>
        <w:t xml:space="preserve"> </w:t>
      </w:r>
      <w:r w:rsidR="0040223B" w:rsidRPr="00F0074A">
        <w:rPr>
          <w:rStyle w:val="fontstyle01"/>
          <w:rFonts w:ascii="Verdana" w:hAnsi="Verdana"/>
          <w:sz w:val="20"/>
          <w:szCs w:val="20"/>
        </w:rPr>
        <w:t xml:space="preserve">detenidos, </w:t>
      </w:r>
      <w:r w:rsidR="0040223B" w:rsidRPr="00F0074A">
        <w:rPr>
          <w:rFonts w:eastAsia="MS Mincho"/>
          <w:lang w:bidi="en-US"/>
        </w:rPr>
        <w:t>sancionando</w:t>
      </w:r>
      <w:r w:rsidR="0040223B" w:rsidRPr="00F0074A">
        <w:rPr>
          <w:rStyle w:val="fontstyle01"/>
          <w:rFonts w:ascii="Verdana" w:hAnsi="Verdana"/>
          <w:sz w:val="20"/>
          <w:szCs w:val="20"/>
        </w:rPr>
        <w:t xml:space="preserve"> a los infractores, así como también que las celdas y otros lugares de alojamiento de detenidos, retenidos</w:t>
      </w:r>
      <w:r w:rsidR="0040223B" w:rsidRPr="00F0074A">
        <w:rPr>
          <w:color w:val="000000"/>
        </w:rPr>
        <w:t xml:space="preserve"> </w:t>
      </w:r>
      <w:r w:rsidR="0040223B" w:rsidRPr="00F0074A">
        <w:rPr>
          <w:rStyle w:val="fontstyle01"/>
          <w:rFonts w:ascii="Verdana" w:hAnsi="Verdana"/>
          <w:sz w:val="20"/>
          <w:szCs w:val="20"/>
        </w:rPr>
        <w:t>o aprehendidos cumplan con las condiciones de sanidad, salubridad y</w:t>
      </w:r>
      <w:r w:rsidR="0040223B" w:rsidRPr="00F0074A">
        <w:rPr>
          <w:color w:val="000000"/>
        </w:rPr>
        <w:t xml:space="preserve"> </w:t>
      </w:r>
      <w:r w:rsidR="0040223B" w:rsidRPr="00F0074A">
        <w:rPr>
          <w:rStyle w:val="fontstyle01"/>
          <w:rFonts w:ascii="Verdana" w:hAnsi="Verdana"/>
          <w:sz w:val="20"/>
          <w:szCs w:val="20"/>
        </w:rPr>
        <w:t xml:space="preserve">limpieza acordes con los estándares internacionales. </w:t>
      </w:r>
      <w:r w:rsidR="0040223B" w:rsidRPr="00F0074A">
        <w:rPr>
          <w:rFonts w:eastAsia="MS Mincho"/>
          <w:bCs/>
          <w:lang w:bidi="en-US"/>
        </w:rPr>
        <w:t>Por último,</w:t>
      </w:r>
      <w:r w:rsidR="0040223B" w:rsidRPr="00F0074A">
        <w:rPr>
          <w:rFonts w:eastAsia="MS Mincho"/>
          <w:b/>
          <w:bCs/>
          <w:lang w:bidi="en-US"/>
        </w:rPr>
        <w:t xml:space="preserve"> </w:t>
      </w:r>
      <w:r w:rsidR="0040223B" w:rsidRPr="00F0074A">
        <w:t xml:space="preserve">los representantes solicitaron </w:t>
      </w:r>
      <w:r w:rsidR="0040223B" w:rsidRPr="00F0074A">
        <w:rPr>
          <w:rFonts w:eastAsia="MS Mincho"/>
          <w:lang w:bidi="en-US"/>
        </w:rPr>
        <w:t xml:space="preserve">que la Corte ordene al Estado </w:t>
      </w:r>
      <w:r w:rsidR="0040223B" w:rsidRPr="00F0074A">
        <w:rPr>
          <w:rStyle w:val="fontstyle01"/>
          <w:rFonts w:ascii="Verdana" w:hAnsi="Verdana"/>
          <w:sz w:val="20"/>
          <w:szCs w:val="20"/>
        </w:rPr>
        <w:t xml:space="preserve">crear organismos de control, </w:t>
      </w:r>
      <w:r w:rsidR="0040223B" w:rsidRPr="00F0074A">
        <w:rPr>
          <w:rFonts w:eastAsia="MS Mincho"/>
          <w:lang w:bidi="en-US"/>
        </w:rPr>
        <w:t>independientes</w:t>
      </w:r>
      <w:r w:rsidR="0040223B" w:rsidRPr="00F0074A">
        <w:rPr>
          <w:rStyle w:val="fontstyle01"/>
          <w:rFonts w:ascii="Verdana" w:hAnsi="Verdana"/>
          <w:sz w:val="20"/>
          <w:szCs w:val="20"/>
        </w:rPr>
        <w:t xml:space="preserve"> e imparciales, para</w:t>
      </w:r>
      <w:r w:rsidR="0040223B" w:rsidRPr="00F0074A">
        <w:rPr>
          <w:color w:val="000000"/>
        </w:rPr>
        <w:t xml:space="preserve"> </w:t>
      </w:r>
      <w:r w:rsidR="0040223B" w:rsidRPr="00F0074A">
        <w:rPr>
          <w:rStyle w:val="fontstyle01"/>
          <w:rFonts w:ascii="Verdana" w:hAnsi="Verdana"/>
          <w:sz w:val="20"/>
          <w:szCs w:val="20"/>
        </w:rPr>
        <w:t>prevenir la repetición en el futuro de los hechos violatorios de los</w:t>
      </w:r>
      <w:r w:rsidR="0040223B" w:rsidRPr="00F0074A">
        <w:rPr>
          <w:color w:val="000000"/>
        </w:rPr>
        <w:t xml:space="preserve"> </w:t>
      </w:r>
      <w:r w:rsidR="0040223B" w:rsidRPr="00F0074A">
        <w:rPr>
          <w:rStyle w:val="fontstyle01"/>
          <w:rFonts w:ascii="Verdana" w:hAnsi="Verdana"/>
          <w:sz w:val="20"/>
          <w:szCs w:val="20"/>
        </w:rPr>
        <w:t>derechos y libertades fundamentales declarados y aceptados como</w:t>
      </w:r>
      <w:r w:rsidR="0040223B" w:rsidRPr="00F0074A">
        <w:rPr>
          <w:color w:val="000000"/>
        </w:rPr>
        <w:t xml:space="preserve"> </w:t>
      </w:r>
      <w:r w:rsidR="0040223B" w:rsidRPr="00F0074A">
        <w:rPr>
          <w:rStyle w:val="fontstyle01"/>
          <w:rFonts w:ascii="Verdana" w:hAnsi="Verdana"/>
          <w:sz w:val="20"/>
          <w:szCs w:val="20"/>
        </w:rPr>
        <w:t xml:space="preserve">tales. </w:t>
      </w:r>
    </w:p>
    <w:p w14:paraId="28B9C45F" w14:textId="77777777" w:rsidR="0040223B" w:rsidRPr="00F0074A" w:rsidRDefault="0040223B" w:rsidP="0040223B">
      <w:pPr>
        <w:tabs>
          <w:tab w:val="left" w:pos="567"/>
          <w:tab w:val="num" w:pos="12305"/>
        </w:tabs>
        <w:spacing w:line="240" w:lineRule="auto"/>
      </w:pPr>
    </w:p>
    <w:p w14:paraId="79AF409B" w14:textId="340A04C8" w:rsidR="0040223B" w:rsidRPr="00F0074A" w:rsidRDefault="0040223B" w:rsidP="0040223B">
      <w:pPr>
        <w:numPr>
          <w:ilvl w:val="0"/>
          <w:numId w:val="11"/>
        </w:numPr>
        <w:tabs>
          <w:tab w:val="left" w:pos="567"/>
          <w:tab w:val="num" w:pos="1569"/>
          <w:tab w:val="num" w:pos="12305"/>
        </w:tabs>
        <w:spacing w:line="240" w:lineRule="auto"/>
        <w:ind w:left="0" w:firstLine="0"/>
      </w:pPr>
      <w:r w:rsidRPr="00F0074A">
        <w:rPr>
          <w:lang w:val="es-PE"/>
        </w:rPr>
        <w:t>El</w:t>
      </w:r>
      <w:r w:rsidRPr="00F0074A">
        <w:rPr>
          <w:b/>
          <w:i/>
          <w:lang w:val="es-PE"/>
        </w:rPr>
        <w:t xml:space="preserve"> Estado</w:t>
      </w:r>
      <w:r w:rsidRPr="00F0074A">
        <w:rPr>
          <w:lang w:val="es-PE"/>
        </w:rPr>
        <w:t xml:space="preserve"> </w:t>
      </w:r>
      <w:r w:rsidRPr="00F0074A">
        <w:rPr>
          <w:lang w:val="es-ES"/>
        </w:rPr>
        <w:t xml:space="preserve">señaló, en relación con la adecuación de la legislación interna a los </w:t>
      </w:r>
      <w:r w:rsidR="00651F1A">
        <w:rPr>
          <w:lang w:val="es-ES"/>
        </w:rPr>
        <w:t>p</w:t>
      </w:r>
      <w:r w:rsidRPr="00F0074A">
        <w:rPr>
          <w:lang w:val="es-ES"/>
        </w:rPr>
        <w:t xml:space="preserve">actos y </w:t>
      </w:r>
      <w:r w:rsidR="00651F1A">
        <w:rPr>
          <w:lang w:val="es-ES"/>
        </w:rPr>
        <w:t>c</w:t>
      </w:r>
      <w:r w:rsidRPr="00F0074A">
        <w:rPr>
          <w:lang w:val="es-ES"/>
        </w:rPr>
        <w:t xml:space="preserve">onvenios </w:t>
      </w:r>
      <w:r w:rsidR="00651F1A">
        <w:rPr>
          <w:lang w:val="es-ES"/>
        </w:rPr>
        <w:t>i</w:t>
      </w:r>
      <w:r w:rsidRPr="00F0074A">
        <w:rPr>
          <w:lang w:val="es-ES"/>
        </w:rPr>
        <w:t>nternacionales suscritos, que debe recordarse el cambio jurisprudencial que se produjo en Argentina a raíz de la declaración de inconstitucionali</w:t>
      </w:r>
      <w:r w:rsidR="00537440">
        <w:rPr>
          <w:lang w:val="es-ES"/>
        </w:rPr>
        <w:t>dad del artículo 10 de la Ley N</w:t>
      </w:r>
      <w:r w:rsidRPr="00F0074A">
        <w:rPr>
          <w:lang w:val="es-ES"/>
        </w:rPr>
        <w:t>o. 24.390, que ha servido como pauta interpretativa para el resto de los tribunales del país. Ademá</w:t>
      </w:r>
      <w:r w:rsidR="00537440">
        <w:rPr>
          <w:lang w:val="es-ES"/>
        </w:rPr>
        <w:t>s, el Estado indicó que la Ley N</w:t>
      </w:r>
      <w:r w:rsidRPr="00F0074A">
        <w:rPr>
          <w:lang w:val="es-ES"/>
        </w:rPr>
        <w:t xml:space="preserve">o. 24.390 que regula la prisión preventiva en la República Argentina fija los límites y establece diferentes supuestos para la procedencia de esta medida. </w:t>
      </w:r>
    </w:p>
    <w:p w14:paraId="534E812E" w14:textId="77777777" w:rsidR="0040223B" w:rsidRPr="00F0074A" w:rsidRDefault="0040223B" w:rsidP="0040223B">
      <w:pPr>
        <w:tabs>
          <w:tab w:val="left" w:pos="567"/>
          <w:tab w:val="num" w:pos="12305"/>
        </w:tabs>
        <w:spacing w:line="240" w:lineRule="auto"/>
      </w:pPr>
    </w:p>
    <w:p w14:paraId="05BE99C1" w14:textId="6DE432F4" w:rsidR="0040223B" w:rsidRPr="00F0074A" w:rsidRDefault="0040223B" w:rsidP="0040223B">
      <w:pPr>
        <w:numPr>
          <w:ilvl w:val="0"/>
          <w:numId w:val="11"/>
        </w:numPr>
        <w:tabs>
          <w:tab w:val="left" w:pos="567"/>
          <w:tab w:val="num" w:pos="1569"/>
          <w:tab w:val="num" w:pos="12305"/>
        </w:tabs>
        <w:spacing w:line="240" w:lineRule="auto"/>
        <w:ind w:left="0" w:firstLine="0"/>
      </w:pPr>
      <w:r w:rsidRPr="00F0074A">
        <w:rPr>
          <w:lang w:val="es-ES"/>
        </w:rPr>
        <w:t xml:space="preserve">En relación con la solicitud de los representantes de iniciar una discusión acerca del sistema procesal vigente, su implicancia y trascendencia en un Estado Democrático de Derecho, el Estado destacó la implementación del “Plan de </w:t>
      </w:r>
      <w:r w:rsidRPr="00F0074A">
        <w:rPr>
          <w:rFonts w:eastAsia="MS Mincho"/>
          <w:lang w:bidi="en-US"/>
        </w:rPr>
        <w:t>Justicia</w:t>
      </w:r>
      <w:r w:rsidRPr="00F0074A">
        <w:rPr>
          <w:lang w:val="es-ES"/>
        </w:rPr>
        <w:t xml:space="preserve"> 2020”, propiciado por el Ministerio de Justicia y Derechos Humanos de la Nación, el cual tiene por objeto que la justicia se transforme en actor principal en la vida de los argentinos y permita la resolución de conflictos en forma independiente, rápida y segura, mediante el fortalecimiento integral del sistema judicial. Añadió que dentro de éste ámbito se han desarrollado diferentes iniciativas tendientes a modernizar el sistema procesal penal en Argentina como la iniciativa de reforma del Código Procesal Penal Federal, cuya implementación se encuentra sujeta a lo dispuesto en el Decreto no. 257/2015, destacando que a partir del mes de enero de 2018 se ha comenzado a impulsar el proceso de implementación de un nuevo código de corte acusatorio, lanzándose el plan, las propuestas y la agenda de trabajo, donde se espera adoptar el modelo de implementación por regiones y de la periferia hacia el centro, teniendo como primera meta el comenzar el 1 de octubre de 2018 en las Provincias de Salta y Jujuy. </w:t>
      </w:r>
    </w:p>
    <w:p w14:paraId="7C1D44FF" w14:textId="77777777" w:rsidR="00B21AF4" w:rsidRPr="00F0074A" w:rsidRDefault="00B21AF4" w:rsidP="00E06F63">
      <w:pPr>
        <w:pStyle w:val="Normal1"/>
        <w:widowControl/>
        <w:contextualSpacing/>
        <w:jc w:val="both"/>
        <w:rPr>
          <w:rFonts w:ascii="Verdana" w:hAnsi="Verdana" w:cs="Arial"/>
          <w:bCs/>
          <w:sz w:val="20"/>
          <w:szCs w:val="20"/>
          <w:lang w:val="es-PE"/>
        </w:rPr>
      </w:pPr>
    </w:p>
    <w:p w14:paraId="09ECDA35" w14:textId="52B5B72A" w:rsidR="008B3192" w:rsidRPr="009349C1" w:rsidRDefault="009349C1" w:rsidP="009349C1">
      <w:pPr>
        <w:numPr>
          <w:ilvl w:val="0"/>
          <w:numId w:val="11"/>
        </w:numPr>
        <w:tabs>
          <w:tab w:val="left" w:pos="567"/>
          <w:tab w:val="num" w:pos="1569"/>
          <w:tab w:val="num" w:pos="12305"/>
        </w:tabs>
        <w:spacing w:line="240" w:lineRule="auto"/>
        <w:ind w:left="0" w:firstLine="0"/>
        <w:rPr>
          <w:rFonts w:cs="Arial"/>
          <w:bCs/>
          <w:lang w:val="es-PE"/>
        </w:rPr>
      </w:pPr>
      <w:r w:rsidRPr="009349C1">
        <w:rPr>
          <w:rFonts w:eastAsia="MS Mincho"/>
          <w:lang w:bidi="en-US"/>
        </w:rPr>
        <w:t xml:space="preserve">Este </w:t>
      </w:r>
      <w:r w:rsidRPr="009349C1">
        <w:rPr>
          <w:rFonts w:eastAsia="MS Mincho"/>
          <w:b/>
          <w:i/>
          <w:lang w:bidi="en-US"/>
        </w:rPr>
        <w:t>T</w:t>
      </w:r>
      <w:r w:rsidRPr="009349C1">
        <w:rPr>
          <w:b/>
          <w:i/>
          <w:lang w:val="es-PE"/>
        </w:rPr>
        <w:t>ribunal</w:t>
      </w:r>
      <w:r w:rsidRPr="009349C1">
        <w:rPr>
          <w:lang w:val="es-PE"/>
        </w:rPr>
        <w:t xml:space="preserve"> </w:t>
      </w:r>
      <w:r w:rsidRPr="009349C1">
        <w:t>recuerda que los Estados deben asegurar que la detención preventiva se aplique de manera excepcional, y se aplique con estricta observancia de los principios de legalidad, presunción de inocencia, necesidad y proporcionalidad, e igualmente que no exista diferencia de trato con fundamento a la naturaleza del delito investigado. Sin embargo, considera</w:t>
      </w:r>
      <w:r w:rsidRPr="009349C1">
        <w:rPr>
          <w:lang w:val="es-PE"/>
        </w:rPr>
        <w:t xml:space="preserve"> que la </w:t>
      </w:r>
      <w:r w:rsidRPr="009349C1">
        <w:rPr>
          <w:rFonts w:cs="Arial"/>
        </w:rPr>
        <w:t>em</w:t>
      </w:r>
      <w:r w:rsidRPr="009349C1">
        <w:rPr>
          <w:rFonts w:eastAsia="MS Mincho"/>
          <w:lang w:bidi="en-US"/>
        </w:rPr>
        <w:t>isión de la presente Sentencia y las reparaciones ordenadas en la misma resultan suficientes y adecuadas</w:t>
      </w:r>
      <w:r w:rsidRPr="009349C1">
        <w:rPr>
          <w:lang w:val="es-PE"/>
        </w:rPr>
        <w:t>.</w:t>
      </w:r>
    </w:p>
    <w:p w14:paraId="32A8501C" w14:textId="196971FD" w:rsidR="00390E2D" w:rsidRPr="00F0074A" w:rsidRDefault="00390E2D" w:rsidP="00390E2D">
      <w:pPr>
        <w:pStyle w:val="Ttulo2"/>
      </w:pPr>
      <w:bookmarkStart w:id="113" w:name="_Toc27405448"/>
      <w:bookmarkStart w:id="114" w:name="_Toc16270617"/>
      <w:bookmarkStart w:id="115" w:name="_Toc15933778"/>
      <w:bookmarkStart w:id="116" w:name="_Toc495658701"/>
      <w:bookmarkStart w:id="117" w:name="_Toc476390741"/>
      <w:bookmarkStart w:id="118" w:name="_Toc514172669"/>
      <w:r>
        <w:t>D</w:t>
      </w:r>
      <w:r w:rsidRPr="00F0074A">
        <w:t>.</w:t>
      </w:r>
      <w:r w:rsidRPr="00F0074A">
        <w:tab/>
      </w:r>
      <w:r>
        <w:t xml:space="preserve"> Indemnizaciones compensatorias</w:t>
      </w:r>
      <w:bookmarkEnd w:id="113"/>
    </w:p>
    <w:p w14:paraId="5295B6D3" w14:textId="77777777" w:rsidR="005B0504" w:rsidRPr="00F0074A" w:rsidRDefault="00CD152D" w:rsidP="00E06F63">
      <w:pPr>
        <w:pStyle w:val="Ttulo3"/>
      </w:pPr>
      <w:bookmarkStart w:id="119" w:name="_Toc495658702"/>
      <w:bookmarkStart w:id="120" w:name="_Toc476390742"/>
      <w:bookmarkStart w:id="121" w:name="_Toc514172670"/>
      <w:bookmarkStart w:id="122" w:name="_Toc16270618"/>
      <w:bookmarkStart w:id="123" w:name="_Toc15933779"/>
      <w:bookmarkStart w:id="124" w:name="_Toc15064203"/>
      <w:bookmarkStart w:id="125" w:name="_Toc27405449"/>
      <w:bookmarkEnd w:id="114"/>
      <w:bookmarkEnd w:id="115"/>
      <w:bookmarkEnd w:id="116"/>
      <w:bookmarkEnd w:id="117"/>
      <w:bookmarkEnd w:id="118"/>
      <w:r w:rsidRPr="00F0074A">
        <w:t>d</w:t>
      </w:r>
      <w:r w:rsidR="005B0504" w:rsidRPr="00F0074A">
        <w:t>.1</w:t>
      </w:r>
      <w:r w:rsidR="00BA25AC" w:rsidRPr="00F0074A">
        <w:t xml:space="preserve"> </w:t>
      </w:r>
      <w:r w:rsidR="005B0504" w:rsidRPr="00F0074A">
        <w:t>Daño material</w:t>
      </w:r>
      <w:bookmarkEnd w:id="119"/>
      <w:bookmarkEnd w:id="120"/>
      <w:bookmarkEnd w:id="121"/>
      <w:bookmarkEnd w:id="122"/>
      <w:bookmarkEnd w:id="123"/>
      <w:bookmarkEnd w:id="124"/>
      <w:bookmarkEnd w:id="125"/>
    </w:p>
    <w:p w14:paraId="5493A6AD" w14:textId="77777777" w:rsidR="00B1216A" w:rsidRPr="00F0074A" w:rsidRDefault="00B1216A" w:rsidP="00B1216A">
      <w:pPr>
        <w:numPr>
          <w:ilvl w:val="0"/>
          <w:numId w:val="11"/>
        </w:numPr>
        <w:tabs>
          <w:tab w:val="left" w:pos="567"/>
          <w:tab w:val="num" w:pos="1569"/>
          <w:tab w:val="num" w:pos="12305"/>
        </w:tabs>
        <w:spacing w:line="240" w:lineRule="auto"/>
        <w:ind w:left="0" w:firstLine="0"/>
        <w:rPr>
          <w:rFonts w:eastAsiaTheme="minorHAnsi"/>
        </w:rPr>
      </w:pPr>
      <w:r w:rsidRPr="00F0074A">
        <w:rPr>
          <w:rFonts w:cs="Verdana"/>
          <w:bCs/>
          <w:iCs/>
        </w:rPr>
        <w:t xml:space="preserve">La </w:t>
      </w:r>
      <w:r w:rsidRPr="00F0074A">
        <w:rPr>
          <w:rFonts w:eastAsia="Batang" w:cs="Verdana"/>
          <w:bCs/>
          <w:iCs/>
        </w:rPr>
        <w:t>Corte</w:t>
      </w:r>
      <w:r w:rsidRPr="00F0074A">
        <w:rPr>
          <w:rFonts w:cs="Verdana"/>
          <w:bCs/>
          <w:i/>
          <w:iCs/>
        </w:rPr>
        <w:t xml:space="preserve"> </w:t>
      </w:r>
      <w:r w:rsidRPr="00F0074A">
        <w:rPr>
          <w:rFonts w:cs="Verdana"/>
          <w:bCs/>
          <w:iCs/>
        </w:rPr>
        <w:t xml:space="preserve">ha desarrollado en su jurisprudencia el concepto de daño material y ha establecido que éste supone la </w:t>
      </w:r>
      <w:r w:rsidRPr="00F0074A">
        <w:t>pérdida</w:t>
      </w:r>
      <w:r w:rsidRPr="00F0074A">
        <w:rPr>
          <w:rFonts w:cs="Verdana"/>
          <w:bCs/>
          <w:iCs/>
        </w:rPr>
        <w:t xml:space="preserve"> o </w:t>
      </w:r>
      <w:r w:rsidRPr="00F0074A">
        <w:rPr>
          <w:rFonts w:eastAsia="MS Mincho"/>
          <w:lang w:bidi="en-US"/>
        </w:rPr>
        <w:t>detrimento</w:t>
      </w:r>
      <w:r w:rsidRPr="00F0074A">
        <w:rPr>
          <w:rFonts w:cs="Verdana"/>
          <w:bCs/>
          <w:iCs/>
        </w:rPr>
        <w:t xml:space="preserve"> de los ingresos de las víctimas, los gastos efectuados con motivo de los hechos y las consecuencias de carácter pecuniario que tengan un nexo causal con los hechos del caso</w:t>
      </w:r>
      <w:r w:rsidRPr="00F0074A">
        <w:rPr>
          <w:rFonts w:eastAsia="MS Mincho"/>
          <w:bCs/>
          <w:vertAlign w:val="superscript"/>
          <w:lang w:bidi="en-US"/>
        </w:rPr>
        <w:footnoteReference w:id="128"/>
      </w:r>
      <w:r w:rsidRPr="00F0074A">
        <w:rPr>
          <w:rFonts w:cs="Verdana"/>
          <w:bCs/>
          <w:iCs/>
        </w:rPr>
        <w:t>.</w:t>
      </w:r>
      <w:r w:rsidRPr="00F0074A">
        <w:rPr>
          <w:rFonts w:eastAsia="MS Mincho"/>
          <w:lang w:bidi="en-US"/>
        </w:rPr>
        <w:t xml:space="preserve"> </w:t>
      </w:r>
    </w:p>
    <w:p w14:paraId="3F6E1583" w14:textId="77777777" w:rsidR="00B1216A" w:rsidRPr="00F0074A" w:rsidRDefault="00B1216A" w:rsidP="00B1216A">
      <w:pPr>
        <w:tabs>
          <w:tab w:val="left" w:pos="567"/>
        </w:tabs>
        <w:spacing w:line="240" w:lineRule="auto"/>
        <w:rPr>
          <w:rFonts w:eastAsiaTheme="minorHAnsi"/>
        </w:rPr>
      </w:pPr>
    </w:p>
    <w:p w14:paraId="7D3C142F" w14:textId="3BF2DFE2" w:rsidR="00B1216A" w:rsidRPr="00F0074A" w:rsidRDefault="00DD58CA" w:rsidP="00B1216A">
      <w:pPr>
        <w:numPr>
          <w:ilvl w:val="0"/>
          <w:numId w:val="11"/>
        </w:numPr>
        <w:tabs>
          <w:tab w:val="left" w:pos="567"/>
          <w:tab w:val="num" w:pos="1569"/>
          <w:tab w:val="num" w:pos="12305"/>
        </w:tabs>
        <w:spacing w:line="240" w:lineRule="auto"/>
        <w:ind w:left="0" w:firstLine="0"/>
        <w:rPr>
          <w:rFonts w:eastAsiaTheme="minorHAnsi"/>
        </w:rPr>
      </w:pPr>
      <w:r>
        <w:rPr>
          <w:rFonts w:eastAsia="MS Mincho"/>
          <w:lang w:bidi="en-US"/>
        </w:rPr>
        <w:t>De manera general, l</w:t>
      </w:r>
      <w:r w:rsidR="00B1216A" w:rsidRPr="00F0074A">
        <w:rPr>
          <w:rFonts w:eastAsia="MS Mincho"/>
          <w:lang w:bidi="en-US"/>
        </w:rPr>
        <w:t>a</w:t>
      </w:r>
      <w:r w:rsidR="00B1216A" w:rsidRPr="00F0074A">
        <w:rPr>
          <w:rFonts w:eastAsia="MS Mincho"/>
          <w:b/>
          <w:i/>
          <w:lang w:bidi="en-US"/>
        </w:rPr>
        <w:t xml:space="preserve"> Comisión</w:t>
      </w:r>
      <w:r w:rsidR="00B1216A" w:rsidRPr="00F0074A">
        <w:rPr>
          <w:rFonts w:eastAsia="MS Mincho"/>
          <w:b/>
          <w:lang w:bidi="en-US"/>
        </w:rPr>
        <w:t xml:space="preserve"> </w:t>
      </w:r>
      <w:r w:rsidR="00B1216A" w:rsidRPr="00F0074A">
        <w:rPr>
          <w:rFonts w:eastAsia="MS Mincho"/>
          <w:bCs/>
          <w:lang w:bidi="en-US"/>
        </w:rPr>
        <w:t xml:space="preserve">solicitó que el Estado </w:t>
      </w:r>
      <w:r w:rsidR="00B1216A" w:rsidRPr="00F0074A">
        <w:rPr>
          <w:bCs/>
        </w:rPr>
        <w:t>repare</w:t>
      </w:r>
      <w:r w:rsidR="00B1216A" w:rsidRPr="00F0074A">
        <w:t xml:space="preserve"> integralmente al señor Jenkins mediante medidas de </w:t>
      </w:r>
      <w:r w:rsidR="00B1216A" w:rsidRPr="00F0074A">
        <w:rPr>
          <w:rFonts w:cs="Verdana"/>
          <w:bCs/>
          <w:iCs/>
        </w:rPr>
        <w:t>compensación</w:t>
      </w:r>
      <w:r w:rsidR="00B1216A" w:rsidRPr="00F0074A">
        <w:t xml:space="preserve"> </w:t>
      </w:r>
      <w:r w:rsidR="00B1216A" w:rsidRPr="00F0074A">
        <w:rPr>
          <w:rFonts w:cs="Verdana"/>
          <w:bCs/>
          <w:iCs/>
        </w:rPr>
        <w:t>pecuniaria</w:t>
      </w:r>
      <w:r w:rsidR="00B1216A" w:rsidRPr="00F0074A">
        <w:t xml:space="preserve"> y de satisfacción que incluyan el daño material ocasionado a la víctima como consecuencia de las violaciones declaradas en su informe. </w:t>
      </w:r>
    </w:p>
    <w:p w14:paraId="04DF47DD" w14:textId="77777777" w:rsidR="0040223B" w:rsidRPr="00F0074A" w:rsidRDefault="0040223B" w:rsidP="004F183C">
      <w:pPr>
        <w:pStyle w:val="Ttulo4"/>
        <w:rPr>
          <w:b/>
          <w:bCs/>
        </w:rPr>
      </w:pPr>
      <w:r w:rsidRPr="00F0074A">
        <w:tab/>
        <w:t xml:space="preserve">(i) Daño emergente </w:t>
      </w:r>
    </w:p>
    <w:p w14:paraId="04D49546" w14:textId="406ECA8C" w:rsidR="00B1216A" w:rsidRPr="00F0074A" w:rsidRDefault="00B1216A" w:rsidP="00B1216A">
      <w:pPr>
        <w:numPr>
          <w:ilvl w:val="0"/>
          <w:numId w:val="11"/>
        </w:numPr>
        <w:tabs>
          <w:tab w:val="left" w:pos="567"/>
          <w:tab w:val="num" w:pos="1569"/>
          <w:tab w:val="num" w:pos="12305"/>
        </w:tabs>
        <w:spacing w:line="240" w:lineRule="auto"/>
        <w:ind w:left="0" w:firstLine="0"/>
        <w:rPr>
          <w:rFonts w:eastAsiaTheme="minorHAnsi"/>
        </w:rPr>
      </w:pPr>
      <w:r w:rsidRPr="00F0074A">
        <w:rPr>
          <w:lang w:val="es-PE"/>
        </w:rPr>
        <w:t xml:space="preserve">Los </w:t>
      </w:r>
      <w:r w:rsidRPr="00F0074A">
        <w:rPr>
          <w:b/>
          <w:bCs/>
          <w:i/>
          <w:iCs/>
          <w:lang w:val="es-PE"/>
        </w:rPr>
        <w:t>representantes</w:t>
      </w:r>
      <w:r w:rsidRPr="00F0074A">
        <w:rPr>
          <w:lang w:val="es-PE"/>
        </w:rPr>
        <w:t xml:space="preserve"> solicitaron en concepto de daño emergente</w:t>
      </w:r>
      <w:r w:rsidR="00A566C3" w:rsidRPr="00F0074A">
        <w:rPr>
          <w:lang w:val="es-PE"/>
        </w:rPr>
        <w:t xml:space="preserve"> que la Corte ordenara</w:t>
      </w:r>
      <w:r w:rsidR="005755CB" w:rsidRPr="00F0074A">
        <w:rPr>
          <w:lang w:val="es-PE"/>
        </w:rPr>
        <w:t>,</w:t>
      </w:r>
      <w:r w:rsidRPr="00F0074A">
        <w:rPr>
          <w:lang w:val="es-PE"/>
        </w:rPr>
        <w:t xml:space="preserve"> en equidad</w:t>
      </w:r>
      <w:r w:rsidR="005755CB" w:rsidRPr="00F0074A">
        <w:rPr>
          <w:lang w:val="es-PE"/>
        </w:rPr>
        <w:t>,</w:t>
      </w:r>
      <w:r w:rsidRPr="00F0074A">
        <w:rPr>
          <w:lang w:val="es-PE"/>
        </w:rPr>
        <w:t xml:space="preserve"> </w:t>
      </w:r>
      <w:r w:rsidR="00A566C3" w:rsidRPr="00F0074A">
        <w:rPr>
          <w:lang w:val="es-PE"/>
        </w:rPr>
        <w:t xml:space="preserve">el pago de </w:t>
      </w:r>
      <w:r w:rsidRPr="00F0074A">
        <w:rPr>
          <w:lang w:val="es-PE"/>
        </w:rPr>
        <w:t>la suma de US$ 35</w:t>
      </w:r>
      <w:r w:rsidR="00975621">
        <w:rPr>
          <w:lang w:val="es-PE"/>
        </w:rPr>
        <w:t>,</w:t>
      </w:r>
      <w:r w:rsidRPr="00F0074A">
        <w:rPr>
          <w:lang w:val="es-PE"/>
        </w:rPr>
        <w:t xml:space="preserve">000 (treinta y cinco mil </w:t>
      </w:r>
      <w:r w:rsidRPr="00F0074A">
        <w:t>dólares</w:t>
      </w:r>
      <w:r w:rsidRPr="00F0074A">
        <w:rPr>
          <w:lang w:val="es-PE"/>
        </w:rPr>
        <w:t xml:space="preserve"> de los Estados Unidos de América). Asimismo, solicitaron US$ 5</w:t>
      </w:r>
      <w:r w:rsidR="00975621">
        <w:rPr>
          <w:lang w:val="es-PE"/>
        </w:rPr>
        <w:t>,</w:t>
      </w:r>
      <w:r w:rsidRPr="00F0074A">
        <w:rPr>
          <w:lang w:val="es-PE"/>
        </w:rPr>
        <w:t xml:space="preserve">000 (cinco mil </w:t>
      </w:r>
      <w:r w:rsidRPr="00F0074A">
        <w:t>dólares</w:t>
      </w:r>
      <w:r w:rsidRPr="00F0074A">
        <w:rPr>
          <w:lang w:val="es-PE"/>
        </w:rPr>
        <w:t xml:space="preserve"> de los Estados Unidos de América) </w:t>
      </w:r>
      <w:r w:rsidRPr="00F0074A">
        <w:rPr>
          <w:lang w:val="es-ES"/>
        </w:rPr>
        <w:t xml:space="preserve">en concepto de traslado, alojamiento y alimentación de sus defensas </w:t>
      </w:r>
      <w:r w:rsidR="005755CB" w:rsidRPr="00F0074A">
        <w:rPr>
          <w:lang w:val="es-ES"/>
        </w:rPr>
        <w:t>para asistir a la audiencia celebrada</w:t>
      </w:r>
      <w:r w:rsidRPr="00F0074A">
        <w:rPr>
          <w:lang w:val="es-ES"/>
        </w:rPr>
        <w:t xml:space="preserve"> </w:t>
      </w:r>
      <w:r w:rsidR="005755CB" w:rsidRPr="00F0074A">
        <w:rPr>
          <w:lang w:val="es-ES"/>
        </w:rPr>
        <w:t xml:space="preserve">ante </w:t>
      </w:r>
      <w:r w:rsidRPr="00F0074A">
        <w:rPr>
          <w:lang w:val="es-ES"/>
        </w:rPr>
        <w:t>la Comisión Interamericana</w:t>
      </w:r>
      <w:r w:rsidR="00A566C3" w:rsidRPr="00F0074A">
        <w:rPr>
          <w:lang w:val="es-ES"/>
        </w:rPr>
        <w:t xml:space="preserve">. </w:t>
      </w:r>
      <w:r w:rsidR="005755CB" w:rsidRPr="00F0074A">
        <w:rPr>
          <w:lang w:val="es-ES"/>
        </w:rPr>
        <w:t xml:space="preserve">Por último, </w:t>
      </w:r>
      <w:r w:rsidRPr="00F0074A">
        <w:rPr>
          <w:lang w:val="es-PE"/>
        </w:rPr>
        <w:t>solicitaron US$ 10</w:t>
      </w:r>
      <w:r w:rsidR="005F7A89">
        <w:rPr>
          <w:lang w:val="es-PE"/>
        </w:rPr>
        <w:t>,</w:t>
      </w:r>
      <w:r w:rsidRPr="00F0074A">
        <w:rPr>
          <w:lang w:val="es-PE"/>
        </w:rPr>
        <w:t xml:space="preserve">000 (diez mil </w:t>
      </w:r>
      <w:r w:rsidRPr="00F0074A">
        <w:t>dólares</w:t>
      </w:r>
      <w:r w:rsidRPr="00F0074A">
        <w:rPr>
          <w:lang w:val="es-PE"/>
        </w:rPr>
        <w:t xml:space="preserve"> de los Estados Unidos de América) </w:t>
      </w:r>
      <w:r w:rsidR="005755CB" w:rsidRPr="00F0074A">
        <w:rPr>
          <w:lang w:val="es-PE"/>
        </w:rPr>
        <w:t>por los siguientes gastos incurridos por el señor Jenkins</w:t>
      </w:r>
      <w:r w:rsidRPr="00F0074A">
        <w:rPr>
          <w:lang w:val="es-PE"/>
        </w:rPr>
        <w:t xml:space="preserve">: </w:t>
      </w:r>
    </w:p>
    <w:p w14:paraId="6A6F4371" w14:textId="77777777" w:rsidR="00986049" w:rsidRPr="00F0074A" w:rsidRDefault="00986049" w:rsidP="00986049">
      <w:pPr>
        <w:tabs>
          <w:tab w:val="left" w:pos="567"/>
        </w:tabs>
        <w:spacing w:line="240" w:lineRule="auto"/>
        <w:rPr>
          <w:rFonts w:eastAsiaTheme="minorHAnsi"/>
        </w:rPr>
      </w:pPr>
    </w:p>
    <w:p w14:paraId="497B3BEA" w14:textId="77777777" w:rsidR="00B1216A" w:rsidRPr="00F0074A" w:rsidRDefault="00B1216A" w:rsidP="00603FE8">
      <w:pPr>
        <w:pStyle w:val="Prrafodelista"/>
        <w:widowControl/>
        <w:numPr>
          <w:ilvl w:val="0"/>
          <w:numId w:val="28"/>
        </w:numPr>
        <w:autoSpaceDE w:val="0"/>
        <w:autoSpaceDN w:val="0"/>
        <w:spacing w:line="240" w:lineRule="auto"/>
        <w:ind w:left="360"/>
        <w:contextualSpacing/>
        <w:textAlignment w:val="auto"/>
        <w:rPr>
          <w:b/>
        </w:rPr>
      </w:pPr>
      <w:r w:rsidRPr="00F0074A">
        <w:t>Los gastos por adquisición de alimentos durante su estancia en prisión;</w:t>
      </w:r>
    </w:p>
    <w:p w14:paraId="17B64F23" w14:textId="77777777" w:rsidR="00B1216A" w:rsidRPr="00F0074A" w:rsidRDefault="00B1216A" w:rsidP="00603FE8">
      <w:pPr>
        <w:pStyle w:val="Prrafodelista"/>
        <w:widowControl/>
        <w:numPr>
          <w:ilvl w:val="0"/>
          <w:numId w:val="28"/>
        </w:numPr>
        <w:autoSpaceDE w:val="0"/>
        <w:autoSpaceDN w:val="0"/>
        <w:spacing w:line="240" w:lineRule="auto"/>
        <w:ind w:left="360"/>
        <w:contextualSpacing/>
        <w:textAlignment w:val="auto"/>
        <w:rPr>
          <w:b/>
        </w:rPr>
      </w:pPr>
      <w:r w:rsidRPr="00F0074A">
        <w:t>Los gastos por adquisición de útiles de aseo y limpieza durante el mismo período;</w:t>
      </w:r>
    </w:p>
    <w:p w14:paraId="48069DFF" w14:textId="77777777" w:rsidR="00B1216A" w:rsidRPr="00F0074A" w:rsidRDefault="00B1216A" w:rsidP="00603FE8">
      <w:pPr>
        <w:pStyle w:val="Prrafodelista"/>
        <w:widowControl/>
        <w:numPr>
          <w:ilvl w:val="0"/>
          <w:numId w:val="28"/>
        </w:numPr>
        <w:autoSpaceDE w:val="0"/>
        <w:autoSpaceDN w:val="0"/>
        <w:spacing w:line="240" w:lineRule="auto"/>
        <w:ind w:left="360"/>
        <w:contextualSpacing/>
        <w:textAlignment w:val="auto"/>
        <w:rPr>
          <w:b/>
        </w:rPr>
      </w:pPr>
      <w:r w:rsidRPr="00F0074A">
        <w:t>Gastos para la adquisición de medicinas para el tratamiento de enfermedades contraídas durante su prisión;</w:t>
      </w:r>
    </w:p>
    <w:p w14:paraId="40E826E3" w14:textId="77777777" w:rsidR="00B1216A" w:rsidRPr="00F0074A" w:rsidRDefault="00B1216A" w:rsidP="00603FE8">
      <w:pPr>
        <w:pStyle w:val="Prrafodelista"/>
        <w:widowControl/>
        <w:numPr>
          <w:ilvl w:val="0"/>
          <w:numId w:val="28"/>
        </w:numPr>
        <w:autoSpaceDE w:val="0"/>
        <w:autoSpaceDN w:val="0"/>
        <w:spacing w:line="240" w:lineRule="auto"/>
        <w:ind w:left="360"/>
        <w:contextualSpacing/>
        <w:textAlignment w:val="auto"/>
        <w:rPr>
          <w:b/>
        </w:rPr>
      </w:pPr>
      <w:r w:rsidRPr="00F0074A">
        <w:t>Gastos por adquisición de prendas de vestir;</w:t>
      </w:r>
    </w:p>
    <w:p w14:paraId="2528B7D8" w14:textId="77777777" w:rsidR="00B1216A" w:rsidRPr="00F0074A" w:rsidRDefault="00B1216A" w:rsidP="00603FE8">
      <w:pPr>
        <w:pStyle w:val="Prrafodelista"/>
        <w:widowControl/>
        <w:numPr>
          <w:ilvl w:val="0"/>
          <w:numId w:val="28"/>
        </w:numPr>
        <w:autoSpaceDE w:val="0"/>
        <w:autoSpaceDN w:val="0"/>
        <w:spacing w:line="240" w:lineRule="auto"/>
        <w:ind w:left="360"/>
        <w:contextualSpacing/>
        <w:textAlignment w:val="auto"/>
        <w:rPr>
          <w:b/>
        </w:rPr>
      </w:pPr>
      <w:r w:rsidRPr="00F0074A">
        <w:t>Gastos de transporte al establecimiento donde estuvo detenido el señor Jenkins, y</w:t>
      </w:r>
    </w:p>
    <w:p w14:paraId="2621AA18" w14:textId="6683BE23" w:rsidR="00B1216A" w:rsidRPr="00F0074A" w:rsidRDefault="00B1216A" w:rsidP="00603FE8">
      <w:pPr>
        <w:pStyle w:val="Prrafodelista"/>
        <w:widowControl/>
        <w:numPr>
          <w:ilvl w:val="0"/>
          <w:numId w:val="28"/>
        </w:numPr>
        <w:autoSpaceDE w:val="0"/>
        <w:autoSpaceDN w:val="0"/>
        <w:spacing w:line="240" w:lineRule="auto"/>
        <w:ind w:left="360"/>
        <w:contextualSpacing/>
        <w:textAlignment w:val="auto"/>
        <w:rPr>
          <w:b/>
        </w:rPr>
      </w:pPr>
      <w:r w:rsidRPr="00F0074A">
        <w:t xml:space="preserve">Gastos asumidos por los padres, suegros, hermanos y cuñados para atención alimentaria y cuidados de salud de su esposa e hijo. </w:t>
      </w:r>
    </w:p>
    <w:p w14:paraId="74871F46" w14:textId="77777777" w:rsidR="00986049" w:rsidRPr="00F0074A" w:rsidRDefault="00986049" w:rsidP="00986049">
      <w:pPr>
        <w:pStyle w:val="Prrafodelista"/>
        <w:widowControl/>
        <w:autoSpaceDE w:val="0"/>
        <w:autoSpaceDN w:val="0"/>
        <w:spacing w:line="240" w:lineRule="auto"/>
        <w:ind w:left="270"/>
        <w:contextualSpacing/>
        <w:textAlignment w:val="auto"/>
        <w:rPr>
          <w:b/>
        </w:rPr>
      </w:pPr>
    </w:p>
    <w:p w14:paraId="7EC7C859" w14:textId="14E39BB4" w:rsidR="00B1216A" w:rsidRPr="00F0074A" w:rsidRDefault="00B1216A" w:rsidP="006056B1">
      <w:pPr>
        <w:numPr>
          <w:ilvl w:val="0"/>
          <w:numId w:val="11"/>
        </w:numPr>
        <w:tabs>
          <w:tab w:val="left" w:pos="567"/>
          <w:tab w:val="num" w:pos="1569"/>
          <w:tab w:val="num" w:pos="12305"/>
        </w:tabs>
        <w:spacing w:line="240" w:lineRule="auto"/>
        <w:ind w:left="0" w:firstLine="0"/>
        <w:rPr>
          <w:b/>
        </w:rPr>
      </w:pPr>
      <w:r w:rsidRPr="00F0074A">
        <w:rPr>
          <w:lang w:val="es-PE"/>
        </w:rPr>
        <w:t xml:space="preserve">El </w:t>
      </w:r>
      <w:r w:rsidRPr="00F0074A">
        <w:rPr>
          <w:b/>
          <w:i/>
          <w:lang w:val="es-PE"/>
        </w:rPr>
        <w:t>Estado</w:t>
      </w:r>
      <w:r w:rsidRPr="00F0074A">
        <w:rPr>
          <w:b/>
          <w:lang w:val="es-PE"/>
        </w:rPr>
        <w:t xml:space="preserve"> </w:t>
      </w:r>
      <w:r w:rsidRPr="00F0074A">
        <w:t>destacó</w:t>
      </w:r>
      <w:r w:rsidRPr="00F0074A">
        <w:rPr>
          <w:lang w:val="es-PE"/>
        </w:rPr>
        <w:t xml:space="preserve"> que el señor Jenkins </w:t>
      </w:r>
      <w:r w:rsidRPr="00F0074A">
        <w:rPr>
          <w:lang w:val="es-ES"/>
        </w:rPr>
        <w:t xml:space="preserve">no presentó prueba suficiente para justificar los altos montos solicitados como indemnización por daño material, sino que se limitó a realizar afirmaciones de tipo general. Con respecto a los gastos incurridos con motivo de los múltiples procesos, el Estado </w:t>
      </w:r>
      <w:r w:rsidR="005755CB" w:rsidRPr="00F0074A">
        <w:rPr>
          <w:lang w:val="es-ES"/>
        </w:rPr>
        <w:t>sostuvo</w:t>
      </w:r>
      <w:r w:rsidR="00A566C3" w:rsidRPr="00F0074A">
        <w:rPr>
          <w:lang w:val="es-ES"/>
        </w:rPr>
        <w:t xml:space="preserve"> </w:t>
      </w:r>
      <w:r w:rsidR="005755CB" w:rsidRPr="00F0074A">
        <w:rPr>
          <w:lang w:val="es-ES"/>
        </w:rPr>
        <w:t>que debía t</w:t>
      </w:r>
      <w:r w:rsidRPr="00F0074A">
        <w:rPr>
          <w:lang w:val="es-ES"/>
        </w:rPr>
        <w:t>enerse presente que, en la única audiencia celebrada</w:t>
      </w:r>
      <w:r w:rsidR="005755CB" w:rsidRPr="00F0074A">
        <w:rPr>
          <w:lang w:val="es-ES"/>
        </w:rPr>
        <w:t xml:space="preserve"> ante la Comisión Interamericana</w:t>
      </w:r>
      <w:r w:rsidRPr="00F0074A">
        <w:rPr>
          <w:lang w:val="es-ES"/>
        </w:rPr>
        <w:t xml:space="preserve">, la presunta víctima participó mediante una </w:t>
      </w:r>
      <w:r w:rsidR="005C15DA" w:rsidRPr="00F0074A">
        <w:rPr>
          <w:lang w:val="es-ES"/>
        </w:rPr>
        <w:t>video llamada</w:t>
      </w:r>
      <w:r w:rsidRPr="00F0074A">
        <w:rPr>
          <w:lang w:val="es-ES"/>
        </w:rPr>
        <w:t xml:space="preserve">. Con respecto a la solicitud de reintegro de los gastos por concepto de alimentación, útiles de aseo y limpieza, medicinas y prendas de vestir, el Estado </w:t>
      </w:r>
      <w:r w:rsidR="007578CE" w:rsidRPr="00F0074A">
        <w:rPr>
          <w:lang w:val="es-ES"/>
        </w:rPr>
        <w:t>señaló que éste tiene</w:t>
      </w:r>
      <w:r w:rsidRPr="00F0074A">
        <w:rPr>
          <w:lang w:val="es-ES"/>
        </w:rPr>
        <w:t xml:space="preserve"> el deber de velar por la seguridad y custodia de las personas sometidas a proceso, lo que conlleva un deber de satisfacer las necesidades básicas de las personas privadas de libertad tales como el alimento, los insumos de aseo personal, las medicinas y vestimenta. </w:t>
      </w:r>
      <w:r w:rsidR="00A566C3" w:rsidRPr="00F0074A">
        <w:rPr>
          <w:lang w:val="es-ES"/>
        </w:rPr>
        <w:t>Según el Estado</w:t>
      </w:r>
      <w:r w:rsidRPr="00F0074A">
        <w:rPr>
          <w:lang w:val="es-ES"/>
        </w:rPr>
        <w:t xml:space="preserve">, resulta inadmisible lo </w:t>
      </w:r>
      <w:r w:rsidR="00A566C3" w:rsidRPr="00F0074A">
        <w:rPr>
          <w:lang w:val="es-ES"/>
        </w:rPr>
        <w:t>solicitado</w:t>
      </w:r>
      <w:r w:rsidRPr="00F0074A">
        <w:rPr>
          <w:lang w:val="es-ES"/>
        </w:rPr>
        <w:t xml:space="preserve"> al respecto por el señor Jenkins, más aún si no aporta ningún elemento que permita acreditar mediante los comprobantes correspondientes los gastos alegados. Asimismo, respecto a los gastos del transporte al establecimiento donde estuvo detenido, el Estado sostuvo </w:t>
      </w:r>
      <w:r w:rsidR="00A566C3" w:rsidRPr="00F0074A">
        <w:rPr>
          <w:lang w:val="es-ES"/>
        </w:rPr>
        <w:t>que, si bien no se precisa a qué</w:t>
      </w:r>
      <w:r w:rsidRPr="00F0074A">
        <w:rPr>
          <w:lang w:val="es-ES"/>
        </w:rPr>
        <w:t xml:space="preserve"> gastos de transporte hace referencia, mientras estuvo privado de su libertad, los traslados siempre corrieron a cuenta del Servicio Penitenciario Federal. Respecto al reintegro de los presuntos gastos asumidos por los padres, suegros, hermanos y cuñados para la atención alimentaria y cuidados de salud de su </w:t>
      </w:r>
      <w:r w:rsidR="007751FC">
        <w:rPr>
          <w:lang w:val="es-ES"/>
        </w:rPr>
        <w:t>ex</w:t>
      </w:r>
      <w:r w:rsidRPr="00F0074A">
        <w:rPr>
          <w:lang w:val="es-ES"/>
        </w:rPr>
        <w:t>esposa e hijo, el Estado solicitó que se recha</w:t>
      </w:r>
      <w:r w:rsidR="00A566C3" w:rsidRPr="00F0074A">
        <w:rPr>
          <w:lang w:val="es-ES"/>
        </w:rPr>
        <w:t xml:space="preserve">zara tal petición, toda vez </w:t>
      </w:r>
      <w:r w:rsidRPr="00F0074A">
        <w:rPr>
          <w:lang w:val="es-ES"/>
        </w:rPr>
        <w:t xml:space="preserve">que no existe acreditación fehaciente de </w:t>
      </w:r>
      <w:r w:rsidR="00A566C3" w:rsidRPr="00F0074A">
        <w:rPr>
          <w:lang w:val="es-ES"/>
        </w:rPr>
        <w:t>dichos gastos</w:t>
      </w:r>
      <w:r w:rsidRPr="00F0074A">
        <w:rPr>
          <w:lang w:val="es-ES"/>
        </w:rPr>
        <w:t xml:space="preserve">. </w:t>
      </w:r>
    </w:p>
    <w:p w14:paraId="515DEB5A" w14:textId="77777777" w:rsidR="00B1216A" w:rsidRPr="00F0074A" w:rsidRDefault="00B1216A" w:rsidP="00B1216A">
      <w:pPr>
        <w:tabs>
          <w:tab w:val="left" w:pos="567"/>
        </w:tabs>
        <w:spacing w:line="240" w:lineRule="auto"/>
        <w:rPr>
          <w:rFonts w:eastAsia="MS Mincho"/>
          <w:b/>
          <w:lang w:bidi="en-US"/>
        </w:rPr>
      </w:pPr>
    </w:p>
    <w:p w14:paraId="1B1AC0A0" w14:textId="77777777" w:rsidR="00B1216A" w:rsidRPr="00F0074A" w:rsidRDefault="00B1216A" w:rsidP="00B1216A">
      <w:pPr>
        <w:numPr>
          <w:ilvl w:val="0"/>
          <w:numId w:val="11"/>
        </w:numPr>
        <w:tabs>
          <w:tab w:val="left" w:pos="567"/>
          <w:tab w:val="num" w:pos="1569"/>
          <w:tab w:val="num" w:pos="12305"/>
        </w:tabs>
        <w:spacing w:line="240" w:lineRule="auto"/>
        <w:ind w:left="0" w:firstLine="0"/>
        <w:rPr>
          <w:rFonts w:eastAsia="MS Mincho"/>
          <w:b/>
          <w:lang w:bidi="en-US"/>
        </w:rPr>
      </w:pPr>
      <w:r w:rsidRPr="00F0074A">
        <w:rPr>
          <w:rFonts w:eastAsia="MS Mincho"/>
          <w:lang w:bidi="en-US"/>
        </w:rPr>
        <w:t>La</w:t>
      </w:r>
      <w:r w:rsidRPr="00F0074A">
        <w:rPr>
          <w:rFonts w:eastAsia="MS Mincho"/>
          <w:b/>
          <w:lang w:bidi="en-US"/>
        </w:rPr>
        <w:t xml:space="preserve"> </w:t>
      </w:r>
      <w:r w:rsidRPr="00F0074A">
        <w:rPr>
          <w:rFonts w:eastAsia="MS Mincho"/>
          <w:b/>
          <w:i/>
          <w:lang w:bidi="en-US"/>
        </w:rPr>
        <w:t>Comisión</w:t>
      </w:r>
      <w:r w:rsidRPr="00F0074A">
        <w:rPr>
          <w:rFonts w:eastAsia="MS Mincho"/>
          <w:b/>
          <w:lang w:bidi="en-US"/>
        </w:rPr>
        <w:t xml:space="preserve"> </w:t>
      </w:r>
      <w:r w:rsidRPr="00F0074A">
        <w:rPr>
          <w:rFonts w:eastAsia="MS Mincho"/>
          <w:lang w:bidi="en-US"/>
        </w:rPr>
        <w:t>no presentó alegatos específicos sobre este punto.</w:t>
      </w:r>
    </w:p>
    <w:p w14:paraId="6C5C874C" w14:textId="77777777" w:rsidR="00B1216A" w:rsidRPr="00F0074A" w:rsidRDefault="00B1216A" w:rsidP="00B1216A">
      <w:pPr>
        <w:tabs>
          <w:tab w:val="left" w:pos="567"/>
        </w:tabs>
        <w:spacing w:line="240" w:lineRule="auto"/>
        <w:rPr>
          <w:b/>
        </w:rPr>
      </w:pPr>
    </w:p>
    <w:p w14:paraId="34BF7242" w14:textId="36E8DBEF" w:rsidR="00B1216A" w:rsidRPr="00D826BD" w:rsidRDefault="00B1216A" w:rsidP="00B1216A">
      <w:pPr>
        <w:numPr>
          <w:ilvl w:val="0"/>
          <w:numId w:val="11"/>
        </w:numPr>
        <w:tabs>
          <w:tab w:val="left" w:pos="567"/>
          <w:tab w:val="num" w:pos="1569"/>
          <w:tab w:val="num" w:pos="12305"/>
        </w:tabs>
        <w:spacing w:line="240" w:lineRule="auto"/>
        <w:ind w:left="0" w:firstLine="0"/>
      </w:pPr>
      <w:r w:rsidRPr="00D826BD">
        <w:rPr>
          <w:rFonts w:eastAsia="MS Mincho"/>
          <w:lang w:bidi="en-US"/>
        </w:rPr>
        <w:t>En cuanto al daño emergente, la</w:t>
      </w:r>
      <w:r w:rsidRPr="00D826BD">
        <w:rPr>
          <w:rFonts w:eastAsia="MS Mincho"/>
          <w:b/>
          <w:lang w:bidi="en-US"/>
        </w:rPr>
        <w:t xml:space="preserve"> </w:t>
      </w:r>
      <w:r w:rsidRPr="00D826BD">
        <w:rPr>
          <w:b/>
          <w:i/>
          <w:lang w:val="es-PE"/>
        </w:rPr>
        <w:t>Corte</w:t>
      </w:r>
      <w:r w:rsidRPr="00D826BD">
        <w:rPr>
          <w:rFonts w:eastAsia="MS Mincho"/>
          <w:b/>
          <w:lang w:val="es-PE" w:bidi="en-US"/>
        </w:rPr>
        <w:t xml:space="preserve"> </w:t>
      </w:r>
      <w:r w:rsidR="00A566C3" w:rsidRPr="00D826BD">
        <w:t>observa</w:t>
      </w:r>
      <w:r w:rsidRPr="00D826BD">
        <w:t xml:space="preserve"> </w:t>
      </w:r>
      <w:r w:rsidRPr="00D826BD">
        <w:rPr>
          <w:rFonts w:cs="Arial"/>
        </w:rPr>
        <w:t xml:space="preserve">que los representantes no </w:t>
      </w:r>
      <w:r w:rsidR="00A566C3" w:rsidRPr="00D826BD">
        <w:rPr>
          <w:rFonts w:cs="Arial"/>
        </w:rPr>
        <w:t xml:space="preserve">desplegaron ningún tipo de actividad probatoria </w:t>
      </w:r>
      <w:r w:rsidRPr="00D826BD">
        <w:rPr>
          <w:rFonts w:cs="Arial"/>
        </w:rPr>
        <w:t>que permita estimar racionalmente el monto de los gastos en</w:t>
      </w:r>
      <w:r w:rsidR="00A566C3" w:rsidRPr="00D826BD">
        <w:rPr>
          <w:rFonts w:cs="Arial"/>
        </w:rPr>
        <w:t xml:space="preserve"> los</w:t>
      </w:r>
      <w:r w:rsidRPr="00D826BD">
        <w:rPr>
          <w:rFonts w:cs="Arial"/>
        </w:rPr>
        <w:t xml:space="preserve"> que incurrió </w:t>
      </w:r>
      <w:r w:rsidR="00A566C3" w:rsidRPr="00D826BD">
        <w:rPr>
          <w:rFonts w:cs="Arial"/>
        </w:rPr>
        <w:t>el señor Jenkins con motivo de su detención</w:t>
      </w:r>
      <w:r w:rsidRPr="00D826BD">
        <w:rPr>
          <w:rFonts w:cs="Arial"/>
        </w:rPr>
        <w:t xml:space="preserve">. </w:t>
      </w:r>
      <w:r w:rsidR="00A566C3" w:rsidRPr="00D826BD">
        <w:rPr>
          <w:rFonts w:cs="Arial"/>
        </w:rPr>
        <w:t>No obstante lo anterior, la Corte considera que la privación de libertad del señor Jenkins le generó</w:t>
      </w:r>
      <w:r w:rsidR="0088006C" w:rsidRPr="00D826BD">
        <w:rPr>
          <w:rFonts w:cs="Arial"/>
        </w:rPr>
        <w:t xml:space="preserve"> una serie de gastos derivados </w:t>
      </w:r>
      <w:r w:rsidR="00A566C3" w:rsidRPr="00D826BD">
        <w:rPr>
          <w:rFonts w:cs="Arial"/>
        </w:rPr>
        <w:t>de su encarcelamiento.</w:t>
      </w:r>
      <w:r w:rsidR="00A566C3" w:rsidRPr="00D826BD">
        <w:t xml:space="preserve"> En virtud de lo anterior, la Corte estima pertinente ordenar, en equidad, el pago de </w:t>
      </w:r>
      <w:r w:rsidR="0088006C" w:rsidRPr="00D826BD">
        <w:t>cinco</w:t>
      </w:r>
      <w:r w:rsidR="00A566C3" w:rsidRPr="00D826BD">
        <w:t xml:space="preserve"> mil dólares </w:t>
      </w:r>
      <w:r w:rsidR="00C01360" w:rsidRPr="00D826BD">
        <w:rPr>
          <w:rFonts w:eastAsia="Arial" w:cs="Arial"/>
          <w:lang w:val="es-ES"/>
        </w:rPr>
        <w:t>US$5</w:t>
      </w:r>
      <w:r w:rsidR="00C01360">
        <w:rPr>
          <w:rFonts w:eastAsia="Arial" w:cs="Arial"/>
          <w:lang w:val="es-ES"/>
        </w:rPr>
        <w:t>,000</w:t>
      </w:r>
      <w:r w:rsidR="00C01360" w:rsidRPr="00D826BD">
        <w:t xml:space="preserve"> </w:t>
      </w:r>
      <w:r w:rsidR="00A566C3" w:rsidRPr="00D826BD">
        <w:t>(</w:t>
      </w:r>
      <w:r w:rsidR="00C01360">
        <w:t xml:space="preserve">cinco mil </w:t>
      </w:r>
      <w:r w:rsidR="00A566C3" w:rsidRPr="00D826BD">
        <w:t xml:space="preserve">dólares de los Estados Unidos de América) al señor </w:t>
      </w:r>
      <w:r w:rsidR="007A3BFF">
        <w:t>Jenkins</w:t>
      </w:r>
      <w:r w:rsidR="00A566C3" w:rsidRPr="00D826BD">
        <w:t xml:space="preserve"> por concepto de daño </w:t>
      </w:r>
      <w:r w:rsidR="007A3BFF">
        <w:t>emergente</w:t>
      </w:r>
      <w:r w:rsidR="00A566C3" w:rsidRPr="00D826BD">
        <w:t>.</w:t>
      </w:r>
      <w:r w:rsidR="00A566C3" w:rsidRPr="00D826BD">
        <w:rPr>
          <w:rFonts w:cs="Arial"/>
        </w:rPr>
        <w:t xml:space="preserve"> </w:t>
      </w:r>
    </w:p>
    <w:p w14:paraId="2F8F2D5D" w14:textId="77777777" w:rsidR="00B1216A" w:rsidRPr="00F0074A" w:rsidRDefault="00B1216A" w:rsidP="004F183C">
      <w:pPr>
        <w:pStyle w:val="Ttulo4"/>
        <w:rPr>
          <w:b/>
          <w:bCs/>
        </w:rPr>
      </w:pPr>
      <w:r w:rsidRPr="00F0074A">
        <w:tab/>
        <w:t xml:space="preserve">(ii) Lucro cesante </w:t>
      </w:r>
    </w:p>
    <w:p w14:paraId="22CC0508" w14:textId="2778CB87" w:rsidR="00B1216A" w:rsidRPr="00F0074A" w:rsidRDefault="00B1216A" w:rsidP="00B1216A">
      <w:pPr>
        <w:numPr>
          <w:ilvl w:val="0"/>
          <w:numId w:val="11"/>
        </w:numPr>
        <w:tabs>
          <w:tab w:val="left" w:pos="567"/>
          <w:tab w:val="num" w:pos="1569"/>
          <w:tab w:val="num" w:pos="12305"/>
        </w:tabs>
        <w:spacing w:line="240" w:lineRule="auto"/>
        <w:ind w:left="0" w:firstLine="0"/>
        <w:rPr>
          <w:lang w:val="es-PE"/>
        </w:rPr>
      </w:pPr>
      <w:r w:rsidRPr="00F0074A">
        <w:rPr>
          <w:lang w:val="es-PE"/>
        </w:rPr>
        <w:t xml:space="preserve">Los </w:t>
      </w:r>
      <w:r w:rsidRPr="00F0074A">
        <w:rPr>
          <w:b/>
          <w:bCs/>
          <w:i/>
          <w:iCs/>
          <w:lang w:val="es-PE"/>
        </w:rPr>
        <w:t>representantes</w:t>
      </w:r>
      <w:r w:rsidRPr="00F0074A">
        <w:rPr>
          <w:lang w:val="es-PE"/>
        </w:rPr>
        <w:t xml:space="preserve"> </w:t>
      </w:r>
      <w:r w:rsidR="0088006C" w:rsidRPr="00F0074A">
        <w:rPr>
          <w:lang w:val="es-PE"/>
        </w:rPr>
        <w:t xml:space="preserve">señalaron que </w:t>
      </w:r>
      <w:r w:rsidRPr="00F0074A">
        <w:rPr>
          <w:lang w:val="es-ES"/>
        </w:rPr>
        <w:t xml:space="preserve">el señor Jenkins se desempeñaba como contador </w:t>
      </w:r>
      <w:r w:rsidRPr="00F0074A">
        <w:rPr>
          <w:rFonts w:eastAsia="MS Mincho"/>
          <w:lang w:bidi="en-US"/>
        </w:rPr>
        <w:t>público</w:t>
      </w:r>
      <w:r w:rsidRPr="00F0074A">
        <w:rPr>
          <w:lang w:val="es-ES"/>
        </w:rPr>
        <w:t xml:space="preserve"> nacional, abogado en el sector público en la Defensoría del Pueblo y también </w:t>
      </w:r>
      <w:r w:rsidR="0088006C" w:rsidRPr="00F0074A">
        <w:rPr>
          <w:lang w:val="es-ES"/>
        </w:rPr>
        <w:t>realizaba</w:t>
      </w:r>
      <w:r w:rsidRPr="00F0074A">
        <w:rPr>
          <w:lang w:val="es-ES"/>
        </w:rPr>
        <w:t xml:space="preserve"> el ejercicio libre de la profesión. Debido a esto, los representantes solicitaron US$ 80 (ochenta dólares </w:t>
      </w:r>
      <w:r w:rsidRPr="00F0074A">
        <w:rPr>
          <w:lang w:val="es-PE"/>
        </w:rPr>
        <w:t>de los Estados Unidos de América</w:t>
      </w:r>
      <w:r w:rsidRPr="00F0074A">
        <w:rPr>
          <w:lang w:val="es-ES"/>
        </w:rPr>
        <w:t>) diarios por el tiempo que el señor Jenkins estuvo privado de libertad</w:t>
      </w:r>
      <w:r w:rsidR="0088006C" w:rsidRPr="00F0074A">
        <w:rPr>
          <w:lang w:val="es-ES"/>
        </w:rPr>
        <w:t xml:space="preserve">, lo cual hacía una </w:t>
      </w:r>
      <w:r w:rsidRPr="00F0074A">
        <w:rPr>
          <w:lang w:val="es-ES"/>
        </w:rPr>
        <w:t>suma de US$102</w:t>
      </w:r>
      <w:r w:rsidR="008372D9">
        <w:rPr>
          <w:lang w:val="es-ES"/>
        </w:rPr>
        <w:t>,</w:t>
      </w:r>
      <w:r w:rsidRPr="00F0074A">
        <w:rPr>
          <w:lang w:val="es-ES"/>
        </w:rPr>
        <w:t xml:space="preserve">240 </w:t>
      </w:r>
      <w:r w:rsidR="00F63340">
        <w:rPr>
          <w:rStyle w:val="fontstyle01"/>
          <w:rFonts w:ascii="Verdana" w:hAnsi="Verdana"/>
          <w:sz w:val="20"/>
          <w:szCs w:val="20"/>
        </w:rPr>
        <w:t>(c</w:t>
      </w:r>
      <w:r w:rsidRPr="00F0074A">
        <w:rPr>
          <w:rStyle w:val="fontstyle01"/>
          <w:rFonts w:ascii="Verdana" w:hAnsi="Verdana"/>
          <w:sz w:val="20"/>
          <w:szCs w:val="20"/>
        </w:rPr>
        <w:t xml:space="preserve">iento dos mil, doscientos cuarenta dólares </w:t>
      </w:r>
      <w:r w:rsidRPr="00F0074A">
        <w:rPr>
          <w:lang w:val="es-PE"/>
        </w:rPr>
        <w:t>de los Estados Unidos de América</w:t>
      </w:r>
      <w:r w:rsidRPr="00F0074A">
        <w:rPr>
          <w:rStyle w:val="fontstyle01"/>
          <w:rFonts w:ascii="Verdana" w:hAnsi="Verdana"/>
          <w:sz w:val="20"/>
          <w:szCs w:val="20"/>
        </w:rPr>
        <w:t>)</w:t>
      </w:r>
      <w:r w:rsidRPr="00F0074A">
        <w:rPr>
          <w:lang w:val="es-ES"/>
        </w:rPr>
        <w:t xml:space="preserve">. </w:t>
      </w:r>
    </w:p>
    <w:p w14:paraId="07E9B8E2" w14:textId="77777777" w:rsidR="00B1216A" w:rsidRPr="00F0074A" w:rsidRDefault="00B1216A" w:rsidP="00B1216A">
      <w:pPr>
        <w:tabs>
          <w:tab w:val="left" w:pos="567"/>
        </w:tabs>
        <w:spacing w:line="240" w:lineRule="auto"/>
        <w:rPr>
          <w:lang w:val="es-PE"/>
        </w:rPr>
      </w:pPr>
    </w:p>
    <w:p w14:paraId="2C6679B0" w14:textId="6024D4A1" w:rsidR="00B1216A" w:rsidRPr="00F0074A" w:rsidRDefault="00B1216A" w:rsidP="00B1216A">
      <w:pPr>
        <w:numPr>
          <w:ilvl w:val="0"/>
          <w:numId w:val="11"/>
        </w:numPr>
        <w:tabs>
          <w:tab w:val="left" w:pos="567"/>
          <w:tab w:val="num" w:pos="1569"/>
          <w:tab w:val="num" w:pos="12305"/>
        </w:tabs>
        <w:spacing w:line="240" w:lineRule="auto"/>
        <w:ind w:left="0" w:firstLine="0"/>
        <w:rPr>
          <w:lang w:val="es-PE"/>
        </w:rPr>
      </w:pPr>
      <w:r w:rsidRPr="00F0074A">
        <w:rPr>
          <w:lang w:val="es-PE"/>
        </w:rPr>
        <w:t xml:space="preserve">El </w:t>
      </w:r>
      <w:r w:rsidRPr="00F0074A">
        <w:rPr>
          <w:b/>
          <w:i/>
          <w:lang w:val="es-PE"/>
        </w:rPr>
        <w:t>Estado</w:t>
      </w:r>
      <w:r w:rsidRPr="00F0074A">
        <w:rPr>
          <w:b/>
          <w:lang w:val="es-PE"/>
        </w:rPr>
        <w:t xml:space="preserve"> </w:t>
      </w:r>
      <w:r w:rsidRPr="00F0074A">
        <w:t xml:space="preserve">señaló </w:t>
      </w:r>
      <w:r w:rsidRPr="00F0074A">
        <w:rPr>
          <w:lang w:val="es-ES"/>
        </w:rPr>
        <w:t xml:space="preserve">que las alegaciones realizadas </w:t>
      </w:r>
      <w:r w:rsidR="0088006C" w:rsidRPr="00F0074A">
        <w:rPr>
          <w:lang w:val="es-ES"/>
        </w:rPr>
        <w:t>eran</w:t>
      </w:r>
      <w:r w:rsidRPr="00F0074A">
        <w:rPr>
          <w:lang w:val="es-ES"/>
        </w:rPr>
        <w:t xml:space="preserve"> de naturaleza vaga y general, donde no aporta ningún tipo de prueba que sustente dicha solicitud. El Estado argument</w:t>
      </w:r>
      <w:r w:rsidRPr="00F0074A">
        <w:rPr>
          <w:rFonts w:cs="Arial"/>
          <w:lang w:val="es-ES"/>
        </w:rPr>
        <w:t xml:space="preserve">ó </w:t>
      </w:r>
      <w:r w:rsidRPr="00F0074A">
        <w:rPr>
          <w:lang w:val="es-ES"/>
        </w:rPr>
        <w:t xml:space="preserve">que, al momento de su detención y posterior privación de libertad, el señor Jenkins no ostentaba ningún título universitario ni desempeñaba </w:t>
      </w:r>
      <w:r w:rsidRPr="00F0074A">
        <w:rPr>
          <w:rFonts w:eastAsia="MS Mincho"/>
          <w:lang w:bidi="en-US"/>
        </w:rPr>
        <w:t>trabajo</w:t>
      </w:r>
      <w:r w:rsidRPr="00F0074A">
        <w:rPr>
          <w:lang w:val="es-ES"/>
        </w:rPr>
        <w:t xml:space="preserve"> alguno conforme surge de la información que é</w:t>
      </w:r>
      <w:r w:rsidR="0088006C" w:rsidRPr="00F0074A">
        <w:rPr>
          <w:lang w:val="es-ES"/>
        </w:rPr>
        <w:t>l mismo acompañó. Al respecto, señaló que el señor Jenkins</w:t>
      </w:r>
      <w:r w:rsidRPr="00F0074A">
        <w:rPr>
          <w:lang w:val="es-ES"/>
        </w:rPr>
        <w:t xml:space="preserve"> finalizó sus estudios de abogacía en 1998, es decir, luego de haber recuperado su libertad. En este mismo sentido, conforme lo manifestado en su </w:t>
      </w:r>
      <w:r w:rsidR="007A3BFF" w:rsidRPr="007A3BFF">
        <w:rPr>
          <w:i/>
          <w:lang w:val="es-ES"/>
        </w:rPr>
        <w:t>c</w:t>
      </w:r>
      <w:r w:rsidRPr="007A3BFF">
        <w:rPr>
          <w:i/>
          <w:lang w:val="es-ES"/>
        </w:rPr>
        <w:t xml:space="preserve">urrículum </w:t>
      </w:r>
      <w:r w:rsidR="007A3BFF" w:rsidRPr="007A3BFF">
        <w:rPr>
          <w:i/>
          <w:lang w:val="es-ES"/>
        </w:rPr>
        <w:t>v</w:t>
      </w:r>
      <w:r w:rsidRPr="007A3BFF">
        <w:rPr>
          <w:i/>
          <w:lang w:val="es-ES"/>
        </w:rPr>
        <w:t>itae</w:t>
      </w:r>
      <w:r w:rsidRPr="00F0074A">
        <w:rPr>
          <w:lang w:val="es-ES"/>
        </w:rPr>
        <w:t xml:space="preserve">, </w:t>
      </w:r>
      <w:r w:rsidR="0088006C" w:rsidRPr="00F0074A">
        <w:rPr>
          <w:lang w:val="es-ES"/>
        </w:rPr>
        <w:t xml:space="preserve">el señor Jenkins </w:t>
      </w:r>
      <w:r w:rsidRPr="00F0074A">
        <w:rPr>
          <w:lang w:val="es-ES"/>
        </w:rPr>
        <w:t xml:space="preserve">obtuvo su título de contador público nacional el año 2002, también con posterioridad a su privación de libertad, en donde además no constaban antecedentes laborales, profesionales ni académicos anteriores a su privación de libertad. </w:t>
      </w:r>
    </w:p>
    <w:p w14:paraId="725728A1" w14:textId="77777777" w:rsidR="00B1216A" w:rsidRPr="00F0074A" w:rsidRDefault="00B1216A" w:rsidP="00B1216A">
      <w:pPr>
        <w:tabs>
          <w:tab w:val="left" w:pos="567"/>
          <w:tab w:val="num" w:pos="12305"/>
        </w:tabs>
        <w:spacing w:line="240" w:lineRule="auto"/>
        <w:rPr>
          <w:lang w:val="es-PE"/>
        </w:rPr>
      </w:pPr>
    </w:p>
    <w:p w14:paraId="14BEA493" w14:textId="77777777" w:rsidR="00B1216A" w:rsidRPr="00F0074A" w:rsidRDefault="00B1216A" w:rsidP="00B1216A">
      <w:pPr>
        <w:numPr>
          <w:ilvl w:val="0"/>
          <w:numId w:val="11"/>
        </w:numPr>
        <w:tabs>
          <w:tab w:val="left" w:pos="567"/>
          <w:tab w:val="num" w:pos="1569"/>
          <w:tab w:val="num" w:pos="12305"/>
        </w:tabs>
        <w:spacing w:line="240" w:lineRule="auto"/>
        <w:ind w:left="0" w:firstLine="0"/>
        <w:rPr>
          <w:rFonts w:eastAsia="MS Mincho"/>
          <w:b/>
          <w:lang w:bidi="en-US"/>
        </w:rPr>
      </w:pPr>
      <w:r w:rsidRPr="00F0074A">
        <w:rPr>
          <w:rFonts w:eastAsia="MS Mincho"/>
          <w:lang w:bidi="en-US"/>
        </w:rPr>
        <w:t>La</w:t>
      </w:r>
      <w:r w:rsidRPr="00F0074A">
        <w:rPr>
          <w:rFonts w:eastAsia="MS Mincho"/>
          <w:b/>
          <w:lang w:bidi="en-US"/>
        </w:rPr>
        <w:t xml:space="preserve"> </w:t>
      </w:r>
      <w:r w:rsidRPr="00F0074A">
        <w:rPr>
          <w:rFonts w:eastAsia="MS Mincho"/>
          <w:b/>
          <w:i/>
          <w:lang w:bidi="en-US"/>
        </w:rPr>
        <w:t>Comisión</w:t>
      </w:r>
      <w:r w:rsidRPr="00F0074A">
        <w:rPr>
          <w:rFonts w:eastAsia="MS Mincho"/>
          <w:b/>
          <w:lang w:bidi="en-US"/>
        </w:rPr>
        <w:t xml:space="preserve"> </w:t>
      </w:r>
      <w:r w:rsidRPr="00F0074A">
        <w:rPr>
          <w:rFonts w:eastAsia="MS Mincho"/>
          <w:lang w:bidi="en-US"/>
        </w:rPr>
        <w:t>no presentó alegatos específicos sobre este punto.</w:t>
      </w:r>
    </w:p>
    <w:p w14:paraId="70BC4715" w14:textId="77777777" w:rsidR="00B1216A" w:rsidRPr="00F0074A" w:rsidRDefault="00B1216A" w:rsidP="00B1216A">
      <w:pPr>
        <w:tabs>
          <w:tab w:val="left" w:pos="567"/>
          <w:tab w:val="num" w:pos="12305"/>
        </w:tabs>
        <w:spacing w:line="240" w:lineRule="auto"/>
        <w:rPr>
          <w:rFonts w:eastAsia="MS Mincho"/>
          <w:b/>
          <w:lang w:bidi="en-US"/>
        </w:rPr>
      </w:pPr>
    </w:p>
    <w:p w14:paraId="01FFECDD" w14:textId="2C427832" w:rsidR="00B1216A" w:rsidRPr="00975621" w:rsidRDefault="00310982" w:rsidP="0088006C">
      <w:pPr>
        <w:numPr>
          <w:ilvl w:val="0"/>
          <w:numId w:val="11"/>
        </w:numPr>
        <w:tabs>
          <w:tab w:val="left" w:pos="567"/>
          <w:tab w:val="num" w:pos="1569"/>
          <w:tab w:val="num" w:pos="12305"/>
        </w:tabs>
        <w:spacing w:line="240" w:lineRule="auto"/>
        <w:ind w:left="0" w:firstLine="0"/>
      </w:pPr>
      <w:r w:rsidRPr="00310982">
        <w:rPr>
          <w:rFonts w:eastAsia="MS Mincho"/>
          <w:lang w:bidi="en-US"/>
        </w:rPr>
        <w:t>La</w:t>
      </w:r>
      <w:r w:rsidRPr="00D826BD">
        <w:rPr>
          <w:rFonts w:eastAsia="MS Mincho"/>
          <w:b/>
          <w:lang w:bidi="en-US"/>
        </w:rPr>
        <w:t xml:space="preserve"> </w:t>
      </w:r>
      <w:r w:rsidRPr="00D826BD">
        <w:rPr>
          <w:b/>
          <w:i/>
          <w:lang w:val="es-PE"/>
        </w:rPr>
        <w:t>Corte</w:t>
      </w:r>
      <w:r w:rsidRPr="00D826BD">
        <w:rPr>
          <w:rFonts w:eastAsia="MS Mincho"/>
          <w:b/>
          <w:lang w:val="es-PE" w:bidi="en-US"/>
        </w:rPr>
        <w:t xml:space="preserve"> </w:t>
      </w:r>
      <w:r w:rsidRPr="00D826BD">
        <w:t xml:space="preserve">observa </w:t>
      </w:r>
      <w:r w:rsidRPr="00D826BD">
        <w:rPr>
          <w:rFonts w:cs="Arial"/>
        </w:rPr>
        <w:t xml:space="preserve">que los representantes no desplegaron ningún tipo de actividad probatoria que permita estimar racionalmente el monto de los gastos </w:t>
      </w:r>
      <w:r>
        <w:rPr>
          <w:rFonts w:cs="Arial"/>
        </w:rPr>
        <w:t>por lucro cesante</w:t>
      </w:r>
      <w:r w:rsidRPr="00D826BD">
        <w:rPr>
          <w:rFonts w:cs="Arial"/>
        </w:rPr>
        <w:t>. No obstante lo anterior, la Corte considera que la privación de libe</w:t>
      </w:r>
      <w:r>
        <w:rPr>
          <w:rFonts w:cs="Arial"/>
        </w:rPr>
        <w:t>rtad del señor Jenkins le produjo una pérdida de ganancia legítima. En consecuencia, e</w:t>
      </w:r>
      <w:r>
        <w:rPr>
          <w:rFonts w:eastAsia="MS Mincho"/>
          <w:lang w:bidi="en-US"/>
        </w:rPr>
        <w:t>l Tribunal</w:t>
      </w:r>
      <w:r w:rsidR="00B1216A" w:rsidRPr="00975621">
        <w:rPr>
          <w:rFonts w:eastAsia="MS Mincho"/>
          <w:b/>
          <w:lang w:val="es-PE" w:bidi="en-US"/>
        </w:rPr>
        <w:t xml:space="preserve"> </w:t>
      </w:r>
      <w:r w:rsidR="00B1216A" w:rsidRPr="00975621">
        <w:t xml:space="preserve">estima que el Estado debe entregar, en equidad, la suma de </w:t>
      </w:r>
      <w:r w:rsidR="0088006C" w:rsidRPr="00E95BF8">
        <w:t xml:space="preserve">US$ </w:t>
      </w:r>
      <w:r w:rsidR="00D406E3" w:rsidRPr="00E95BF8">
        <w:t>10,000</w:t>
      </w:r>
      <w:r w:rsidR="00D406E3">
        <w:t xml:space="preserve"> </w:t>
      </w:r>
      <w:r w:rsidR="0088006C" w:rsidRPr="00975621">
        <w:t>(</w:t>
      </w:r>
      <w:r w:rsidR="00D406E3" w:rsidRPr="00E95BF8">
        <w:t>diez</w:t>
      </w:r>
      <w:r w:rsidR="00D406E3">
        <w:t xml:space="preserve"> </w:t>
      </w:r>
      <w:r w:rsidR="00B1216A" w:rsidRPr="00975621">
        <w:t xml:space="preserve">mil dólares de los Estados Unidos de América) al señor Jenkins, por concepto de indemnización por los ingresos que dejó de percibir por el tiempo que estuvo privado de su libertad en violación del artículo 7 de la Convención Americana. </w:t>
      </w:r>
    </w:p>
    <w:p w14:paraId="522E940E" w14:textId="77777777" w:rsidR="003F37A6" w:rsidRPr="00F0074A" w:rsidRDefault="00CD152D" w:rsidP="00E06F63">
      <w:pPr>
        <w:pStyle w:val="Ttulo3"/>
      </w:pPr>
      <w:bookmarkStart w:id="126" w:name="_Toc27405450"/>
      <w:r w:rsidRPr="00F0074A">
        <w:t>d</w:t>
      </w:r>
      <w:r w:rsidR="00EE62DD" w:rsidRPr="00F0074A">
        <w:t xml:space="preserve">.2 </w:t>
      </w:r>
      <w:r w:rsidR="003F37A6" w:rsidRPr="00F0074A">
        <w:t>Daño inmaterial</w:t>
      </w:r>
      <w:bookmarkEnd w:id="126"/>
      <w:r w:rsidR="003F37A6" w:rsidRPr="00F0074A">
        <w:t xml:space="preserve"> </w:t>
      </w:r>
    </w:p>
    <w:p w14:paraId="5FF2B8A6" w14:textId="0D09D748" w:rsidR="00140BA6" w:rsidRPr="00F0074A" w:rsidRDefault="00140BA6" w:rsidP="00986049">
      <w:pPr>
        <w:numPr>
          <w:ilvl w:val="0"/>
          <w:numId w:val="11"/>
        </w:numPr>
        <w:tabs>
          <w:tab w:val="left" w:pos="567"/>
          <w:tab w:val="num" w:pos="1569"/>
          <w:tab w:val="num" w:pos="12305"/>
        </w:tabs>
        <w:spacing w:line="240" w:lineRule="auto"/>
        <w:ind w:left="0" w:firstLine="0"/>
        <w:rPr>
          <w:rFonts w:eastAsiaTheme="minorHAnsi"/>
        </w:rPr>
      </w:pPr>
      <w:r w:rsidRPr="00F0074A">
        <w:rPr>
          <w:rFonts w:eastAsia="MS Mincho"/>
          <w:lang w:bidi="en-US"/>
        </w:rPr>
        <w:t>La</w:t>
      </w:r>
      <w:r w:rsidRPr="00F0074A">
        <w:rPr>
          <w:rFonts w:eastAsia="MS Mincho"/>
          <w:b/>
          <w:i/>
          <w:lang w:bidi="en-US"/>
        </w:rPr>
        <w:t xml:space="preserve"> Comisión</w:t>
      </w:r>
      <w:r w:rsidRPr="00F0074A">
        <w:rPr>
          <w:rFonts w:eastAsia="MS Mincho"/>
          <w:b/>
          <w:lang w:bidi="en-US"/>
        </w:rPr>
        <w:t xml:space="preserve"> </w:t>
      </w:r>
      <w:r w:rsidRPr="00F0074A">
        <w:rPr>
          <w:rFonts w:eastAsia="MS Mincho"/>
          <w:bCs/>
          <w:lang w:bidi="en-US"/>
        </w:rPr>
        <w:t xml:space="preserve">solicitó </w:t>
      </w:r>
      <w:r w:rsidRPr="00F0074A">
        <w:rPr>
          <w:bCs/>
        </w:rPr>
        <w:t>reparar</w:t>
      </w:r>
      <w:r w:rsidRPr="00F0074A">
        <w:t xml:space="preserve"> integralmente al señor Jenkins mediante medidas de </w:t>
      </w:r>
      <w:r w:rsidRPr="00F0074A">
        <w:rPr>
          <w:rFonts w:cs="Verdana"/>
          <w:bCs/>
          <w:iCs/>
        </w:rPr>
        <w:t>compensación</w:t>
      </w:r>
      <w:r w:rsidRPr="00F0074A">
        <w:t xml:space="preserve"> pecuniaria y de satisfacción que incluyan el daño inmaterial ocasionado a la víctima como consecuencia de las violaciones declaradas. </w:t>
      </w:r>
    </w:p>
    <w:p w14:paraId="7DA2A7CB" w14:textId="77777777" w:rsidR="00AE6516" w:rsidRPr="00F0074A" w:rsidRDefault="00AE6516" w:rsidP="00E06F63">
      <w:pPr>
        <w:pStyle w:val="Normal1"/>
        <w:widowControl/>
        <w:contextualSpacing/>
        <w:jc w:val="both"/>
        <w:rPr>
          <w:rFonts w:ascii="Verdana" w:hAnsi="Verdana" w:cs="Arial"/>
          <w:b/>
          <w:bCs/>
          <w:sz w:val="20"/>
          <w:szCs w:val="20"/>
          <w:lang w:val="es-PE"/>
        </w:rPr>
      </w:pPr>
    </w:p>
    <w:p w14:paraId="640C21BC" w14:textId="4D9492B6" w:rsidR="00140BA6" w:rsidRPr="00F0074A" w:rsidRDefault="008130AB" w:rsidP="00986049">
      <w:pPr>
        <w:numPr>
          <w:ilvl w:val="0"/>
          <w:numId w:val="11"/>
        </w:numPr>
        <w:tabs>
          <w:tab w:val="left" w:pos="567"/>
          <w:tab w:val="num" w:pos="1569"/>
          <w:tab w:val="num" w:pos="12305"/>
        </w:tabs>
        <w:spacing w:line="240" w:lineRule="auto"/>
        <w:ind w:left="0" w:firstLine="0"/>
        <w:rPr>
          <w:b/>
          <w:lang w:val="es-ES"/>
        </w:rPr>
      </w:pPr>
      <w:bookmarkStart w:id="127" w:name="_Toc16270620"/>
      <w:bookmarkStart w:id="128" w:name="_Toc15933781"/>
      <w:bookmarkStart w:id="129" w:name="_Toc495658704"/>
      <w:bookmarkStart w:id="130" w:name="_Toc476390746"/>
      <w:bookmarkStart w:id="131" w:name="_Toc514172672"/>
      <w:r w:rsidRPr="00F0074A">
        <w:rPr>
          <w:lang w:val="es-PE"/>
        </w:rPr>
        <w:t>L</w:t>
      </w:r>
      <w:r w:rsidR="00140BA6" w:rsidRPr="00F0074A">
        <w:rPr>
          <w:lang w:val="es-PE"/>
        </w:rPr>
        <w:t xml:space="preserve">os </w:t>
      </w:r>
      <w:r w:rsidR="00140BA6" w:rsidRPr="00F0074A">
        <w:rPr>
          <w:b/>
          <w:bCs/>
          <w:i/>
          <w:iCs/>
          <w:lang w:val="es-PE"/>
        </w:rPr>
        <w:t>representantes</w:t>
      </w:r>
      <w:r w:rsidR="00140BA6" w:rsidRPr="00F0074A">
        <w:rPr>
          <w:lang w:val="es-PE"/>
        </w:rPr>
        <w:t xml:space="preserve"> solicitaron el pago de US$ </w:t>
      </w:r>
      <w:r w:rsidR="00140BA6" w:rsidRPr="00F0074A">
        <w:rPr>
          <w:rFonts w:eastAsia="MS Mincho"/>
          <w:lang w:bidi="en-US"/>
        </w:rPr>
        <w:t>500</w:t>
      </w:r>
      <w:r w:rsidR="005F7A89">
        <w:rPr>
          <w:lang w:val="es-PE"/>
        </w:rPr>
        <w:t>,</w:t>
      </w:r>
      <w:r w:rsidR="00140BA6" w:rsidRPr="00F0074A">
        <w:rPr>
          <w:lang w:val="es-PE"/>
        </w:rPr>
        <w:t>000 (</w:t>
      </w:r>
      <w:r w:rsidR="00140BA6" w:rsidRPr="00F0074A">
        <w:t>quinientos</w:t>
      </w:r>
      <w:r w:rsidR="00140BA6" w:rsidRPr="00F0074A">
        <w:rPr>
          <w:lang w:val="es-PE"/>
        </w:rPr>
        <w:t xml:space="preserve"> mil dólares de los Estados Unidos de América)</w:t>
      </w:r>
      <w:r w:rsidRPr="00F0074A">
        <w:rPr>
          <w:lang w:val="es-PE"/>
        </w:rPr>
        <w:t xml:space="preserve"> </w:t>
      </w:r>
      <w:r w:rsidR="00140BA6" w:rsidRPr="00F0074A">
        <w:rPr>
          <w:lang w:val="es-ES"/>
        </w:rPr>
        <w:t xml:space="preserve">por el padecimiento emocional sufrido por </w:t>
      </w:r>
      <w:r w:rsidRPr="00F0074A">
        <w:rPr>
          <w:lang w:val="es-ES"/>
        </w:rPr>
        <w:t>el señor Jenkins, así como</w:t>
      </w:r>
      <w:r w:rsidR="00140BA6" w:rsidRPr="00F0074A">
        <w:rPr>
          <w:lang w:val="es-ES"/>
        </w:rPr>
        <w:t xml:space="preserve"> por la aflicción </w:t>
      </w:r>
      <w:r w:rsidRPr="00F0074A">
        <w:rPr>
          <w:lang w:val="es-ES"/>
        </w:rPr>
        <w:t>derivada de</w:t>
      </w:r>
      <w:r w:rsidR="00140BA6" w:rsidRPr="00F0074A">
        <w:rPr>
          <w:lang w:val="es-ES"/>
        </w:rPr>
        <w:t xml:space="preserve"> sentirse responsable del mal sufrido por quienes le rodean a consecuencia de su privación de libertad,</w:t>
      </w:r>
      <w:r w:rsidRPr="00F0074A">
        <w:rPr>
          <w:lang w:val="es-ES"/>
        </w:rPr>
        <w:t xml:space="preserve"> y</w:t>
      </w:r>
      <w:r w:rsidR="00140BA6" w:rsidRPr="00F0074A">
        <w:rPr>
          <w:lang w:val="es-ES"/>
        </w:rPr>
        <w:t xml:space="preserve"> por el daño que causó en sus relaciones sociales y laborales, provocando también una alteración en la dinámica familiar que se vio muy afectada a causa de la separación. Esto sumado al daño que le ocasionó toda esta situación a su honra como producto del efecto estigmatizador que implica</w:t>
      </w:r>
      <w:r w:rsidRPr="00F0074A">
        <w:rPr>
          <w:lang w:val="es-ES"/>
        </w:rPr>
        <w:t>ba</w:t>
      </w:r>
      <w:r w:rsidR="00140BA6" w:rsidRPr="00F0074A">
        <w:rPr>
          <w:lang w:val="es-ES"/>
        </w:rPr>
        <w:t xml:space="preserve"> el haber estado privado de libertad durante tres años y cinco meses, junto con el hecho de ser socialmente </w:t>
      </w:r>
      <w:r w:rsidR="00140BA6" w:rsidRPr="00F0074A">
        <w:rPr>
          <w:lang w:val="es-PE"/>
        </w:rPr>
        <w:t>identificado</w:t>
      </w:r>
      <w:r w:rsidR="00140BA6" w:rsidRPr="00F0074A">
        <w:rPr>
          <w:lang w:val="es-ES"/>
        </w:rPr>
        <w:t xml:space="preserve"> como un narcotraficante perteneciente a una banda criminal. </w:t>
      </w:r>
    </w:p>
    <w:p w14:paraId="40772767" w14:textId="77777777" w:rsidR="00140BA6" w:rsidRPr="00F0074A" w:rsidRDefault="00140BA6" w:rsidP="00140BA6">
      <w:pPr>
        <w:pStyle w:val="Normal1"/>
        <w:widowControl/>
        <w:jc w:val="both"/>
        <w:rPr>
          <w:rFonts w:ascii="Verdana" w:hAnsi="Verdana" w:cs="Arial"/>
          <w:b/>
          <w:bCs/>
          <w:sz w:val="20"/>
          <w:szCs w:val="20"/>
          <w:lang w:val="es-PE"/>
        </w:rPr>
      </w:pPr>
    </w:p>
    <w:p w14:paraId="53D40D6F" w14:textId="498F5FA6" w:rsidR="00140BA6" w:rsidRPr="00E95BF8" w:rsidRDefault="00140BA6" w:rsidP="009F2D9B">
      <w:pPr>
        <w:numPr>
          <w:ilvl w:val="0"/>
          <w:numId w:val="11"/>
        </w:numPr>
        <w:tabs>
          <w:tab w:val="left" w:pos="567"/>
          <w:tab w:val="num" w:pos="1569"/>
          <w:tab w:val="num" w:pos="12305"/>
        </w:tabs>
        <w:spacing w:line="240" w:lineRule="auto"/>
        <w:ind w:left="0" w:firstLine="0"/>
        <w:rPr>
          <w:rFonts w:eastAsia="Calibri"/>
          <w:b/>
          <w:i/>
        </w:rPr>
      </w:pPr>
      <w:r w:rsidRPr="00E95BF8">
        <w:rPr>
          <w:rFonts w:cs="Arial"/>
          <w:bCs/>
          <w:lang w:val="es-PE"/>
        </w:rPr>
        <w:t xml:space="preserve">El </w:t>
      </w:r>
      <w:r w:rsidRPr="00E95BF8">
        <w:rPr>
          <w:rFonts w:cs="Arial"/>
          <w:b/>
          <w:bCs/>
          <w:i/>
          <w:lang w:val="es-PE"/>
        </w:rPr>
        <w:t>Estado</w:t>
      </w:r>
      <w:r w:rsidRPr="00E95BF8">
        <w:rPr>
          <w:rFonts w:cs="Arial"/>
          <w:bCs/>
          <w:lang w:val="es-PE"/>
        </w:rPr>
        <w:t xml:space="preserve"> </w:t>
      </w:r>
      <w:r w:rsidRPr="00F0074A">
        <w:t>alegó</w:t>
      </w:r>
      <w:r w:rsidRPr="00E95BF8">
        <w:rPr>
          <w:rFonts w:cs="Arial"/>
          <w:bCs/>
          <w:lang w:val="es-PE"/>
        </w:rPr>
        <w:t xml:space="preserve"> que</w:t>
      </w:r>
      <w:r w:rsidRPr="00E95BF8">
        <w:rPr>
          <w:lang w:val="es-ES"/>
        </w:rPr>
        <w:t xml:space="preserve">, a los fines de la determinación de la indemnización por daño inmaterial, la jurisprudencia </w:t>
      </w:r>
      <w:r w:rsidR="008130AB" w:rsidRPr="00E95BF8">
        <w:rPr>
          <w:lang w:val="es-ES"/>
        </w:rPr>
        <w:t>i</w:t>
      </w:r>
      <w:r w:rsidRPr="00E95BF8">
        <w:rPr>
          <w:lang w:val="es-ES"/>
        </w:rPr>
        <w:t xml:space="preserve">nternacional en general y la jurisprudencia de la Corte en particular han establecido que la Sentencia puede constituir </w:t>
      </w:r>
      <w:r w:rsidRPr="00E95BF8">
        <w:rPr>
          <w:i/>
          <w:lang w:val="es-ES"/>
        </w:rPr>
        <w:t>per se</w:t>
      </w:r>
      <w:r w:rsidRPr="00E95BF8">
        <w:rPr>
          <w:lang w:val="es-ES"/>
        </w:rPr>
        <w:t xml:space="preserve"> una forma de reparación. Subsidiariamente, en caso de que la Corte </w:t>
      </w:r>
      <w:r w:rsidR="008130AB" w:rsidRPr="00E95BF8">
        <w:rPr>
          <w:lang w:val="es-ES"/>
        </w:rPr>
        <w:t>decidiera</w:t>
      </w:r>
      <w:r w:rsidRPr="00E95BF8">
        <w:rPr>
          <w:lang w:val="es-ES"/>
        </w:rPr>
        <w:t xml:space="preserve"> no hacer </w:t>
      </w:r>
      <w:r w:rsidRPr="00E95BF8">
        <w:rPr>
          <w:lang w:val="es-PE"/>
        </w:rPr>
        <w:t>lugar</w:t>
      </w:r>
      <w:r w:rsidRPr="00E95BF8">
        <w:rPr>
          <w:lang w:val="es-ES"/>
        </w:rPr>
        <w:t xml:space="preserve"> a los argumentos </w:t>
      </w:r>
      <w:r w:rsidR="008130AB" w:rsidRPr="00E95BF8">
        <w:rPr>
          <w:lang w:val="es-ES"/>
        </w:rPr>
        <w:t>vertidos por el Estado, solicitó</w:t>
      </w:r>
      <w:r w:rsidRPr="00E95BF8">
        <w:rPr>
          <w:lang w:val="es-ES"/>
        </w:rPr>
        <w:t xml:space="preserve"> que se </w:t>
      </w:r>
      <w:r w:rsidR="008130AB" w:rsidRPr="00E95BF8">
        <w:rPr>
          <w:lang w:val="es-ES"/>
        </w:rPr>
        <w:t>tomaran</w:t>
      </w:r>
      <w:r w:rsidRPr="00E95BF8">
        <w:rPr>
          <w:lang w:val="es-ES"/>
        </w:rPr>
        <w:t xml:space="preserve"> en cuenta los parámetros y estándares internacionales fijados por la jurisprudencia y rechace las pretensiones pecuniarias excesivas de la presunta víctima</w:t>
      </w:r>
      <w:r w:rsidR="008130AB" w:rsidRPr="00E95BF8">
        <w:rPr>
          <w:lang w:val="es-ES"/>
        </w:rPr>
        <w:t xml:space="preserve">. </w:t>
      </w:r>
    </w:p>
    <w:p w14:paraId="1C553521" w14:textId="77777777" w:rsidR="00E95BF8" w:rsidRPr="00E95BF8" w:rsidRDefault="00E95BF8" w:rsidP="00E95BF8">
      <w:pPr>
        <w:tabs>
          <w:tab w:val="left" w:pos="567"/>
          <w:tab w:val="num" w:pos="12305"/>
        </w:tabs>
        <w:spacing w:line="240" w:lineRule="auto"/>
        <w:rPr>
          <w:rFonts w:eastAsia="Calibri"/>
          <w:b/>
          <w:i/>
        </w:rPr>
      </w:pPr>
    </w:p>
    <w:p w14:paraId="0914456D" w14:textId="77777777" w:rsidR="00140BA6" w:rsidRPr="00F0074A" w:rsidRDefault="00140BA6" w:rsidP="00986049">
      <w:pPr>
        <w:numPr>
          <w:ilvl w:val="0"/>
          <w:numId w:val="11"/>
        </w:numPr>
        <w:tabs>
          <w:tab w:val="left" w:pos="567"/>
          <w:tab w:val="num" w:pos="1569"/>
          <w:tab w:val="num" w:pos="12305"/>
        </w:tabs>
        <w:spacing w:line="240" w:lineRule="auto"/>
        <w:ind w:left="0" w:firstLine="0"/>
        <w:rPr>
          <w:rFonts w:eastAsia="Calibri"/>
          <w:b/>
          <w:i/>
        </w:rPr>
      </w:pPr>
      <w:r w:rsidRPr="00F0074A">
        <w:rPr>
          <w:rFonts w:cs="Arial"/>
        </w:rPr>
        <w:t xml:space="preserve">La </w:t>
      </w:r>
      <w:r w:rsidRPr="00F0074A">
        <w:rPr>
          <w:rFonts w:cs="Arial"/>
          <w:b/>
          <w:i/>
        </w:rPr>
        <w:t>Corte</w:t>
      </w:r>
      <w:r w:rsidRPr="00F0074A">
        <w:rPr>
          <w:rFonts w:cs="Arial"/>
        </w:rPr>
        <w:t xml:space="preserve"> </w:t>
      </w:r>
      <w:r w:rsidRPr="00F0074A">
        <w:t>ha establecido en su jurisprudencia que el daño inmaterial “puede comprender tanto los sufrimientos y las aflicciones causados por la violación como el menoscabo de valores muy significativos para las personas y cualquier alteración, de carácter no pecuniario, en las condiciones de existencia de las víctimas”. Por otra parte, dado que no es posible asignar al daño inmaterial un equivalente monetario preciso, sólo puede ser objeto de compensación, para los fines de la reparación integral a la víctima, mediante el pago de una cantidad de dinero o la entrega de bienes o servicios apreciables en dinero, que el Tribunal determine en aplicación razonable del arbitrio judicial y en términos de equidad</w:t>
      </w:r>
      <w:r w:rsidRPr="00F0074A">
        <w:rPr>
          <w:rFonts w:eastAsia="Calibri"/>
          <w:vertAlign w:val="superscript"/>
        </w:rPr>
        <w:footnoteReference w:id="129"/>
      </w:r>
      <w:r w:rsidRPr="00F0074A">
        <w:t>.</w:t>
      </w:r>
    </w:p>
    <w:p w14:paraId="69B821DD" w14:textId="77777777" w:rsidR="00140BA6" w:rsidRPr="00F0074A" w:rsidRDefault="00140BA6" w:rsidP="00140BA6">
      <w:pPr>
        <w:pStyle w:val="Normal1"/>
        <w:widowControl/>
        <w:jc w:val="both"/>
        <w:rPr>
          <w:rFonts w:ascii="Verdana" w:eastAsia="Calibri" w:hAnsi="Verdana"/>
          <w:b/>
          <w:i/>
          <w:sz w:val="20"/>
          <w:szCs w:val="20"/>
        </w:rPr>
      </w:pPr>
    </w:p>
    <w:p w14:paraId="57F80F20" w14:textId="37D714AA" w:rsidR="008130AB" w:rsidRPr="00F0074A" w:rsidRDefault="008130AB" w:rsidP="008130AB">
      <w:pPr>
        <w:numPr>
          <w:ilvl w:val="0"/>
          <w:numId w:val="11"/>
        </w:numPr>
        <w:tabs>
          <w:tab w:val="left" w:pos="567"/>
          <w:tab w:val="num" w:pos="1569"/>
          <w:tab w:val="num" w:pos="12305"/>
        </w:tabs>
        <w:spacing w:line="240" w:lineRule="auto"/>
        <w:ind w:left="0" w:firstLine="0"/>
        <w:rPr>
          <w:rFonts w:eastAsia="Arial" w:cs="Arial"/>
          <w:b/>
          <w:lang w:val="es-ES"/>
        </w:rPr>
      </w:pPr>
      <w:r w:rsidRPr="00F0074A">
        <w:t xml:space="preserve">Por ello, considerando las circunstancias del presente caso, así como las restantes consecuencias de orden inmaterial que sufrió, la Corte estima pertinente fijar en equidad, por concepto de </w:t>
      </w:r>
      <w:r w:rsidRPr="00F0074A">
        <w:rPr>
          <w:lang w:val="es-PE"/>
        </w:rPr>
        <w:t>daño</w:t>
      </w:r>
      <w:r w:rsidRPr="00F0074A">
        <w:t xml:space="preserve"> inmaterial, una indemnización equivalente a </w:t>
      </w:r>
      <w:r w:rsidR="00D826BD" w:rsidRPr="00F0074A">
        <w:rPr>
          <w:rFonts w:eastAsia="Arial" w:cs="Arial"/>
          <w:lang w:val="es-ES"/>
        </w:rPr>
        <w:t>US$</w:t>
      </w:r>
      <w:r w:rsidR="00D826BD">
        <w:rPr>
          <w:rFonts w:eastAsia="Arial" w:cs="Arial"/>
          <w:lang w:val="es-ES"/>
        </w:rPr>
        <w:t xml:space="preserve"> </w:t>
      </w:r>
      <w:r w:rsidR="00576A60">
        <w:t>20</w:t>
      </w:r>
      <w:r w:rsidR="005F7A89">
        <w:t>,</w:t>
      </w:r>
      <w:r w:rsidR="00576A60">
        <w:t>000</w:t>
      </w:r>
      <w:r w:rsidRPr="00F0074A">
        <w:t xml:space="preserve"> (</w:t>
      </w:r>
      <w:r w:rsidR="00576A60">
        <w:rPr>
          <w:rFonts w:eastAsia="Arial" w:cs="Arial"/>
          <w:lang w:val="es-ES"/>
        </w:rPr>
        <w:t>veinte mil</w:t>
      </w:r>
      <w:r w:rsidRPr="00F0074A">
        <w:t xml:space="preserve"> dólares de los Estados Unidos de América) a favor del señor </w:t>
      </w:r>
      <w:r w:rsidR="00687D89" w:rsidRPr="00F0074A">
        <w:t>Jenkins</w:t>
      </w:r>
      <w:r w:rsidRPr="00F0074A">
        <w:t>.</w:t>
      </w:r>
    </w:p>
    <w:p w14:paraId="5DD56770" w14:textId="283E2AF2" w:rsidR="00390E2D" w:rsidRPr="00F0074A" w:rsidRDefault="00390E2D" w:rsidP="00390E2D">
      <w:pPr>
        <w:pStyle w:val="Ttulo2"/>
      </w:pPr>
      <w:bookmarkStart w:id="132" w:name="_Toc27405451"/>
      <w:r>
        <w:t>G</w:t>
      </w:r>
      <w:r w:rsidRPr="00F0074A">
        <w:t>.</w:t>
      </w:r>
      <w:r w:rsidRPr="00F0074A">
        <w:tab/>
      </w:r>
      <w:r>
        <w:t xml:space="preserve"> Costas y gastos</w:t>
      </w:r>
      <w:bookmarkEnd w:id="132"/>
    </w:p>
    <w:bookmarkEnd w:id="127"/>
    <w:bookmarkEnd w:id="128"/>
    <w:bookmarkEnd w:id="129"/>
    <w:bookmarkEnd w:id="130"/>
    <w:bookmarkEnd w:id="131"/>
    <w:p w14:paraId="4756BB96" w14:textId="0BE3F3F4" w:rsidR="00DD58CA" w:rsidRDefault="00986049" w:rsidP="00DD58CA">
      <w:pPr>
        <w:numPr>
          <w:ilvl w:val="0"/>
          <w:numId w:val="11"/>
        </w:numPr>
        <w:tabs>
          <w:tab w:val="left" w:pos="567"/>
          <w:tab w:val="num" w:pos="1569"/>
          <w:tab w:val="num" w:pos="12305"/>
        </w:tabs>
        <w:spacing w:line="240" w:lineRule="auto"/>
        <w:ind w:left="0" w:firstLine="0"/>
        <w:rPr>
          <w:rFonts w:eastAsia="MS Mincho"/>
          <w:lang w:bidi="en-US"/>
        </w:rPr>
      </w:pPr>
      <w:r w:rsidRPr="00DD58CA">
        <w:rPr>
          <w:rFonts w:eastAsia="MS Mincho"/>
          <w:lang w:bidi="en-US"/>
        </w:rPr>
        <w:t xml:space="preserve">Los </w:t>
      </w:r>
      <w:r w:rsidRPr="00DD58CA">
        <w:rPr>
          <w:rFonts w:eastAsia="MS Mincho"/>
          <w:b/>
          <w:i/>
          <w:lang w:bidi="en-US"/>
        </w:rPr>
        <w:t>representantes</w:t>
      </w:r>
      <w:r w:rsidRPr="00DD58CA">
        <w:rPr>
          <w:rFonts w:eastAsia="MS Mincho"/>
          <w:lang w:bidi="en-US"/>
        </w:rPr>
        <w:t xml:space="preserve"> </w:t>
      </w:r>
      <w:r w:rsidRPr="00F0074A">
        <w:rPr>
          <w:rFonts w:eastAsia="MS Mincho"/>
          <w:lang w:bidi="en-US"/>
        </w:rPr>
        <w:t>solicitaron</w:t>
      </w:r>
      <w:r w:rsidRPr="00DD58CA">
        <w:rPr>
          <w:rFonts w:eastAsia="MS Mincho"/>
          <w:lang w:bidi="en-US"/>
        </w:rPr>
        <w:t xml:space="preserve"> </w:t>
      </w:r>
      <w:r w:rsidRPr="00F0074A">
        <w:rPr>
          <w:rFonts w:eastAsia="MS Mincho"/>
          <w:lang w:bidi="en-US"/>
        </w:rPr>
        <w:t xml:space="preserve">que la Corte ordene al Estado resarcir todos los gastos y costas en que hayan incurrido el señor </w:t>
      </w:r>
      <w:r w:rsidRPr="00DD58CA">
        <w:rPr>
          <w:rFonts w:eastAsia="MS Mincho"/>
          <w:lang w:bidi="en-US"/>
        </w:rPr>
        <w:t>Jenkins</w:t>
      </w:r>
      <w:r w:rsidRPr="00F0074A">
        <w:rPr>
          <w:rFonts w:eastAsia="MS Mincho"/>
          <w:lang w:bidi="en-US"/>
        </w:rPr>
        <w:t xml:space="preserve"> y sus representantes, tanto en los procedimientos tramitados en el ámbito local como ante la Comisión y la Corte. </w:t>
      </w:r>
      <w:r w:rsidR="00DD58CA" w:rsidRPr="00DD58CA">
        <w:rPr>
          <w:rFonts w:eastAsia="MS Mincho"/>
          <w:lang w:bidi="en-US"/>
        </w:rPr>
        <w:t>Solicitaron US$ 10</w:t>
      </w:r>
      <w:r w:rsidR="005F7A89">
        <w:rPr>
          <w:rFonts w:eastAsia="MS Mincho"/>
          <w:lang w:bidi="en-US"/>
        </w:rPr>
        <w:t>,</w:t>
      </w:r>
      <w:r w:rsidR="00DD58CA" w:rsidRPr="00DD58CA">
        <w:rPr>
          <w:rFonts w:eastAsia="MS Mincho"/>
          <w:lang w:bidi="en-US"/>
        </w:rPr>
        <w:t>000 (diez mil dólares de los Estados Unidos de América) en concepto de honorarios profesionales de los abogados que patrocinaron la caus</w:t>
      </w:r>
      <w:r w:rsidR="005F7A89">
        <w:rPr>
          <w:rFonts w:eastAsia="MS Mincho"/>
          <w:lang w:bidi="en-US"/>
        </w:rPr>
        <w:t>a en el orden nacional y US$ 10,</w:t>
      </w:r>
      <w:r w:rsidR="00DD58CA" w:rsidRPr="00DD58CA">
        <w:rPr>
          <w:rFonts w:eastAsia="MS Mincho"/>
          <w:lang w:bidi="en-US"/>
        </w:rPr>
        <w:t>000 (diez mil dólares de los Estados Unidos de América) en concepto de honorarios profesionales de los abogados que patrocinaron la causa en el orden internacional.</w:t>
      </w:r>
    </w:p>
    <w:p w14:paraId="0E42CADC" w14:textId="77777777" w:rsidR="00C725C8" w:rsidRPr="00DD58CA" w:rsidRDefault="00C725C8" w:rsidP="00C725C8">
      <w:pPr>
        <w:tabs>
          <w:tab w:val="left" w:pos="567"/>
        </w:tabs>
        <w:spacing w:line="240" w:lineRule="auto"/>
        <w:rPr>
          <w:rFonts w:eastAsia="MS Mincho"/>
          <w:lang w:bidi="en-US"/>
        </w:rPr>
      </w:pPr>
    </w:p>
    <w:p w14:paraId="65673AF0" w14:textId="77777777" w:rsidR="00986049" w:rsidRPr="00F0074A" w:rsidRDefault="00986049" w:rsidP="00986049">
      <w:pPr>
        <w:numPr>
          <w:ilvl w:val="0"/>
          <w:numId w:val="11"/>
        </w:numPr>
        <w:tabs>
          <w:tab w:val="left" w:pos="567"/>
          <w:tab w:val="num" w:pos="1569"/>
          <w:tab w:val="num" w:pos="12305"/>
        </w:tabs>
        <w:spacing w:line="240" w:lineRule="auto"/>
        <w:ind w:left="0" w:firstLine="0"/>
        <w:rPr>
          <w:lang w:val="es-ES"/>
        </w:rPr>
      </w:pPr>
      <w:r w:rsidRPr="00F0074A">
        <w:rPr>
          <w:rFonts w:eastAsia="MS Mincho"/>
          <w:lang w:bidi="en-US"/>
        </w:rPr>
        <w:t xml:space="preserve">Además, </w:t>
      </w:r>
      <w:r w:rsidRPr="00F0074A">
        <w:rPr>
          <w:lang w:val="es-ES"/>
        </w:rPr>
        <w:t>solicitaron a la Corte el reintegro de los gastos necesarios y previsiones de gastos de los Defensores Interamericanos, señalando:</w:t>
      </w:r>
    </w:p>
    <w:p w14:paraId="444CF409" w14:textId="77777777" w:rsidR="00986049" w:rsidRPr="00F0074A" w:rsidRDefault="00986049" w:rsidP="00986049">
      <w:pPr>
        <w:tabs>
          <w:tab w:val="left" w:pos="567"/>
          <w:tab w:val="num" w:pos="12305"/>
        </w:tabs>
        <w:spacing w:line="240" w:lineRule="auto"/>
        <w:rPr>
          <w:lang w:val="es-ES"/>
        </w:rPr>
      </w:pPr>
    </w:p>
    <w:p w14:paraId="573AD7DB" w14:textId="71B3CA0C" w:rsidR="00986049" w:rsidRPr="00F0074A" w:rsidRDefault="00986049" w:rsidP="00F63340">
      <w:pPr>
        <w:pStyle w:val="Prrafodelista"/>
        <w:widowControl/>
        <w:numPr>
          <w:ilvl w:val="0"/>
          <w:numId w:val="31"/>
        </w:numPr>
        <w:autoSpaceDE w:val="0"/>
        <w:autoSpaceDN w:val="0"/>
        <w:spacing w:line="240" w:lineRule="auto"/>
        <w:ind w:left="450"/>
        <w:contextualSpacing/>
        <w:textAlignment w:val="auto"/>
        <w:rPr>
          <w:lang w:val="es-ES"/>
        </w:rPr>
      </w:pPr>
      <w:r w:rsidRPr="00F0074A">
        <w:t xml:space="preserve">El costo de la presentación del </w:t>
      </w:r>
      <w:r w:rsidR="00537440" w:rsidRPr="00F0074A">
        <w:t xml:space="preserve">escrito de solicitudes, argumentos y pruebas </w:t>
      </w:r>
      <w:r w:rsidRPr="00F0074A">
        <w:t xml:space="preserve">a través del envío </w:t>
      </w:r>
      <w:r w:rsidR="007A3BFF">
        <w:t>por c</w:t>
      </w:r>
      <w:r w:rsidRPr="00F0074A">
        <w:t xml:space="preserve">ourier </w:t>
      </w:r>
      <w:r w:rsidR="007A3BFF">
        <w:t>i</w:t>
      </w:r>
      <w:r w:rsidRPr="00F0074A">
        <w:t>nternational;</w:t>
      </w:r>
    </w:p>
    <w:p w14:paraId="0777DD8E" w14:textId="77777777" w:rsidR="00986049" w:rsidRPr="00F0074A" w:rsidRDefault="00986049" w:rsidP="00F63340">
      <w:pPr>
        <w:pStyle w:val="Prrafodelista"/>
        <w:widowControl/>
        <w:numPr>
          <w:ilvl w:val="0"/>
          <w:numId w:val="31"/>
        </w:numPr>
        <w:autoSpaceDE w:val="0"/>
        <w:autoSpaceDN w:val="0"/>
        <w:spacing w:line="240" w:lineRule="auto"/>
        <w:ind w:left="450"/>
        <w:contextualSpacing/>
        <w:textAlignment w:val="auto"/>
      </w:pPr>
      <w:r w:rsidRPr="00F0074A">
        <w:t>El gasto de intervención de los Defensores Interamericanos para asistir a las audiencias designadas en el caso, cubriendo los gastos de viaje, hospedaje y viáticos;</w:t>
      </w:r>
    </w:p>
    <w:p w14:paraId="1C7B40C4" w14:textId="77777777" w:rsidR="00986049" w:rsidRPr="00F0074A" w:rsidRDefault="00687D89" w:rsidP="00F63340">
      <w:pPr>
        <w:pStyle w:val="Prrafodelista"/>
        <w:widowControl/>
        <w:numPr>
          <w:ilvl w:val="0"/>
          <w:numId w:val="31"/>
        </w:numPr>
        <w:autoSpaceDE w:val="0"/>
        <w:autoSpaceDN w:val="0"/>
        <w:spacing w:line="240" w:lineRule="auto"/>
        <w:ind w:left="450"/>
        <w:contextualSpacing/>
        <w:textAlignment w:val="auto"/>
      </w:pPr>
      <w:r w:rsidRPr="00F0074A">
        <w:t>L</w:t>
      </w:r>
      <w:r w:rsidR="00986049" w:rsidRPr="00F0074A">
        <w:t>os gastos de viajes, hospedaje y viáticos de los Defensores Interamericanos para tomar contacto personal con la presunta víctima en la ciudad de Buenos Aires, y</w:t>
      </w:r>
    </w:p>
    <w:p w14:paraId="3F70712D" w14:textId="43129DA0" w:rsidR="00986049" w:rsidRPr="00F0074A" w:rsidRDefault="00986049" w:rsidP="00F63340">
      <w:pPr>
        <w:pStyle w:val="Prrafodelista"/>
        <w:widowControl/>
        <w:numPr>
          <w:ilvl w:val="0"/>
          <w:numId w:val="31"/>
        </w:numPr>
        <w:autoSpaceDE w:val="0"/>
        <w:autoSpaceDN w:val="0"/>
        <w:spacing w:line="240" w:lineRule="auto"/>
        <w:ind w:left="450"/>
        <w:contextualSpacing/>
        <w:textAlignment w:val="auto"/>
      </w:pPr>
      <w:r w:rsidRPr="00F0074A">
        <w:t xml:space="preserve">Los gastos de presentación del envío de los alegatos finales a través del envío </w:t>
      </w:r>
      <w:r w:rsidR="007A3BFF">
        <w:t>por c</w:t>
      </w:r>
      <w:r w:rsidRPr="00F0074A">
        <w:t xml:space="preserve">ourier </w:t>
      </w:r>
      <w:r w:rsidR="007A3BFF">
        <w:t>i</w:t>
      </w:r>
      <w:r w:rsidRPr="00F0074A">
        <w:t xml:space="preserve">nternational. </w:t>
      </w:r>
    </w:p>
    <w:p w14:paraId="57B29A3F" w14:textId="77777777" w:rsidR="00986049" w:rsidRPr="00F0074A" w:rsidRDefault="00986049" w:rsidP="00986049">
      <w:pPr>
        <w:pStyle w:val="Normal1"/>
        <w:widowControl/>
        <w:jc w:val="both"/>
        <w:rPr>
          <w:rFonts w:ascii="Verdana" w:hAnsi="Verdana" w:cs="Arial"/>
          <w:sz w:val="20"/>
          <w:szCs w:val="20"/>
        </w:rPr>
      </w:pPr>
    </w:p>
    <w:p w14:paraId="79D446FD" w14:textId="24F2E5B5" w:rsidR="00DD58CA" w:rsidRPr="00DD58CA" w:rsidRDefault="00DD58CA" w:rsidP="00DD58CA">
      <w:pPr>
        <w:numPr>
          <w:ilvl w:val="0"/>
          <w:numId w:val="11"/>
        </w:numPr>
        <w:tabs>
          <w:tab w:val="left" w:pos="567"/>
          <w:tab w:val="num" w:pos="1569"/>
          <w:tab w:val="num" w:pos="12305"/>
        </w:tabs>
        <w:spacing w:line="240" w:lineRule="auto"/>
        <w:ind w:left="0" w:firstLine="0"/>
        <w:rPr>
          <w:rFonts w:eastAsia="MS Mincho"/>
          <w:lang w:bidi="en-US"/>
        </w:rPr>
      </w:pPr>
      <w:r>
        <w:rPr>
          <w:rFonts w:eastAsia="MS Mincho"/>
          <w:lang w:bidi="en-US"/>
        </w:rPr>
        <w:t>S</w:t>
      </w:r>
      <w:r w:rsidRPr="00DD58CA">
        <w:rPr>
          <w:rFonts w:eastAsia="MS Mincho"/>
          <w:lang w:bidi="en-US"/>
        </w:rPr>
        <w:t>obre la solicitud de US$ 10</w:t>
      </w:r>
      <w:r w:rsidR="007A3BFF">
        <w:rPr>
          <w:rFonts w:eastAsia="MS Mincho"/>
          <w:lang w:bidi="en-US"/>
        </w:rPr>
        <w:t>,</w:t>
      </w:r>
      <w:r w:rsidRPr="00DD58CA">
        <w:rPr>
          <w:rFonts w:eastAsia="MS Mincho"/>
          <w:lang w:bidi="en-US"/>
        </w:rPr>
        <w:t xml:space="preserve">000 (diez mil dólares de los Estados Unidos de América) por honorarios para los abogados que patrocinaron su causa en el orden nacional en la causa, el </w:t>
      </w:r>
      <w:r w:rsidRPr="00DD58CA">
        <w:rPr>
          <w:rFonts w:eastAsia="MS Mincho"/>
          <w:b/>
          <w:i/>
          <w:lang w:bidi="en-US"/>
        </w:rPr>
        <w:t>Estado</w:t>
      </w:r>
      <w:r w:rsidRPr="00DD58CA">
        <w:rPr>
          <w:rFonts w:eastAsia="MS Mincho"/>
          <w:lang w:bidi="en-US"/>
        </w:rPr>
        <w:t xml:space="preserve"> solicitó su rechazo, ya que los representantes no adjuntaron comprobante alguno que permita probar o tener por acreditado el pago de dicha suma. </w:t>
      </w:r>
      <w:r>
        <w:rPr>
          <w:rFonts w:eastAsia="MS Mincho"/>
          <w:lang w:bidi="en-US"/>
        </w:rPr>
        <w:t>R</w:t>
      </w:r>
      <w:r w:rsidRPr="00DD58CA">
        <w:rPr>
          <w:rFonts w:eastAsia="MS Mincho"/>
          <w:lang w:bidi="en-US"/>
        </w:rPr>
        <w:t>especto a la solicitud de US$ 10</w:t>
      </w:r>
      <w:r w:rsidR="005F7A89">
        <w:rPr>
          <w:rFonts w:eastAsia="MS Mincho"/>
          <w:lang w:bidi="en-US"/>
        </w:rPr>
        <w:t>,</w:t>
      </w:r>
      <w:r w:rsidRPr="00DD58CA">
        <w:rPr>
          <w:rFonts w:eastAsia="MS Mincho"/>
          <w:lang w:bidi="en-US"/>
        </w:rPr>
        <w:t xml:space="preserve">000 (diez mil dólares de los Estados Unidos de América) por honorarios para los profesionales que lo asistieron en sede internacional, el Estado </w:t>
      </w:r>
      <w:r>
        <w:rPr>
          <w:rFonts w:eastAsia="MS Mincho"/>
          <w:lang w:bidi="en-US"/>
        </w:rPr>
        <w:t>advirtió que no existía</w:t>
      </w:r>
      <w:r w:rsidRPr="00DD58CA">
        <w:rPr>
          <w:rFonts w:eastAsia="MS Mincho"/>
          <w:lang w:bidi="en-US"/>
        </w:rPr>
        <w:t xml:space="preserve"> constancia alguna desde el inicio del presente caso de que haya otro profesional además del señor Jenkins que lo patrocinara.</w:t>
      </w:r>
    </w:p>
    <w:p w14:paraId="5FB44B86" w14:textId="77777777" w:rsidR="00DD58CA" w:rsidRDefault="00DD58CA" w:rsidP="00DD58CA">
      <w:pPr>
        <w:tabs>
          <w:tab w:val="left" w:pos="567"/>
          <w:tab w:val="num" w:pos="12305"/>
        </w:tabs>
        <w:spacing w:line="240" w:lineRule="auto"/>
      </w:pPr>
    </w:p>
    <w:p w14:paraId="22C23803" w14:textId="3C35CFA1" w:rsidR="00986049" w:rsidRPr="00F0074A" w:rsidRDefault="00986049" w:rsidP="00986049">
      <w:pPr>
        <w:numPr>
          <w:ilvl w:val="0"/>
          <w:numId w:val="11"/>
        </w:numPr>
        <w:tabs>
          <w:tab w:val="left" w:pos="567"/>
          <w:tab w:val="num" w:pos="1569"/>
          <w:tab w:val="num" w:pos="12305"/>
        </w:tabs>
        <w:spacing w:line="240" w:lineRule="auto"/>
        <w:ind w:left="0" w:firstLine="0"/>
      </w:pPr>
      <w:r w:rsidRPr="00F0074A">
        <w:rPr>
          <w:lang w:val="es-PE"/>
        </w:rPr>
        <w:t xml:space="preserve"> </w:t>
      </w:r>
      <w:r w:rsidR="00DD58CA">
        <w:rPr>
          <w:lang w:val="es-PE"/>
        </w:rPr>
        <w:t xml:space="preserve">Asimismo, indicó </w:t>
      </w:r>
      <w:r w:rsidRPr="00F0074A">
        <w:t>que la solicitud de reembolso de las erogaciones pretendidas por los representantes del señor Jenkins deb</w:t>
      </w:r>
      <w:r w:rsidR="00FA326D">
        <w:t>ía</w:t>
      </w:r>
      <w:r w:rsidRPr="00F0074A">
        <w:t xml:space="preserve"> ser prudentemente examinada y que bajo este rubro se </w:t>
      </w:r>
      <w:r w:rsidRPr="00F0074A">
        <w:rPr>
          <w:lang w:val="es-PE"/>
        </w:rPr>
        <w:t>comprend</w:t>
      </w:r>
      <w:r w:rsidR="00FA326D">
        <w:rPr>
          <w:lang w:val="es-PE"/>
        </w:rPr>
        <w:t>ían</w:t>
      </w:r>
      <w:r w:rsidRPr="00F0074A">
        <w:t xml:space="preserve"> tanto los gastos generados ante las autoridades de la jurisdicción interna, así como los incurridos en el curso del proceso ante el sistema interamericano, teniendo en cuenta las circunstancias del caso concreto y la naturaleza de la jurisdicción internacional de la protección de los derechos humanos. El Estado indicó que el señor Jenkins solicitó el reintegro de los gastos necesarios y previsiones de gastos de los Defensores Interamericanos sin aportar ninguna prueba </w:t>
      </w:r>
      <w:r w:rsidR="00687D89" w:rsidRPr="00F0074A">
        <w:t>específica</w:t>
      </w:r>
      <w:r w:rsidRPr="00F0074A">
        <w:t xml:space="preserve"> al respecto. En consecuencia, y en la hipótesis que el presente caso no </w:t>
      </w:r>
      <w:r w:rsidR="00687D89" w:rsidRPr="00F0074A">
        <w:t>fuera</w:t>
      </w:r>
      <w:r w:rsidRPr="00F0074A">
        <w:t xml:space="preserve"> rechazado, el Estado solicitó subsidiariamente que se fij</w:t>
      </w:r>
      <w:r w:rsidR="00FA326D">
        <w:t>aran</w:t>
      </w:r>
      <w:r w:rsidRPr="00F0074A">
        <w:t xml:space="preserve"> las costas y gastos sobre la base de la equidad. </w:t>
      </w:r>
    </w:p>
    <w:p w14:paraId="0FEB86E3" w14:textId="77777777" w:rsidR="00986049" w:rsidRPr="00F0074A" w:rsidRDefault="00986049" w:rsidP="00986049">
      <w:pPr>
        <w:pStyle w:val="Normal1"/>
        <w:widowControl/>
        <w:jc w:val="both"/>
        <w:rPr>
          <w:rFonts w:ascii="Verdana" w:hAnsi="Verdana"/>
          <w:sz w:val="20"/>
          <w:szCs w:val="20"/>
        </w:rPr>
      </w:pPr>
    </w:p>
    <w:p w14:paraId="59A263FE" w14:textId="77777777" w:rsidR="005B0504" w:rsidRPr="00F0074A" w:rsidRDefault="005B0504" w:rsidP="00E06F63">
      <w:pPr>
        <w:numPr>
          <w:ilvl w:val="0"/>
          <w:numId w:val="11"/>
        </w:numPr>
        <w:tabs>
          <w:tab w:val="left" w:pos="567"/>
          <w:tab w:val="num" w:pos="1569"/>
          <w:tab w:val="num" w:pos="12305"/>
        </w:tabs>
        <w:spacing w:line="240" w:lineRule="auto"/>
        <w:ind w:left="0" w:firstLine="0"/>
        <w:rPr>
          <w:rFonts w:eastAsia="MS Mincho"/>
          <w:lang w:bidi="en-US"/>
        </w:rPr>
      </w:pPr>
      <w:r w:rsidRPr="00F0074A">
        <w:rPr>
          <w:rFonts w:cs="Verdana"/>
          <w:bCs/>
          <w:iCs/>
        </w:rPr>
        <w:t xml:space="preserve">La </w:t>
      </w:r>
      <w:r w:rsidRPr="00F0074A">
        <w:rPr>
          <w:rFonts w:cs="Verdana"/>
          <w:b/>
          <w:i/>
        </w:rPr>
        <w:t>Corte</w:t>
      </w:r>
      <w:r w:rsidRPr="00F0074A">
        <w:rPr>
          <w:rFonts w:cs="Verdana"/>
          <w:bCs/>
          <w:iCs/>
        </w:rPr>
        <w:t xml:space="preserve"> reitera que, conforme a su jurisprudencia</w:t>
      </w:r>
      <w:r w:rsidRPr="00F0074A">
        <w:rPr>
          <w:rFonts w:cs="Verdana"/>
          <w:bCs/>
          <w:iCs/>
          <w:vertAlign w:val="superscript"/>
        </w:rPr>
        <w:footnoteReference w:id="130"/>
      </w:r>
      <w:r w:rsidRPr="00F0074A">
        <w:rPr>
          <w:rFonts w:cs="Verdana"/>
          <w:bCs/>
          <w:iCs/>
        </w:rPr>
        <w:t xml:space="preserve">, las costas y gastos hacen parte del concepto de reparación, toda vez que la actividad desplegada por las víctimas con el fin de obtener justicia, tanto a nivel nacional como internacional, implica erogaciones que deben ser compensadas cuando la responsabilidad internacional del Estado es declarada mediante una sentencia condenatoria. </w:t>
      </w:r>
      <w:r w:rsidRPr="00F0074A">
        <w:rPr>
          <w:rFonts w:eastAsia="MS Mincho"/>
          <w:lang w:bidi="en-US"/>
        </w:rPr>
        <w:t xml:space="preserve">El Tribunal ha señalado que “las pretensiones de las víctimas o sus representantes en materia de costas y gastos, y las pruebas que las sustentan, deben presentarse a la Corte en el primer momento procesal que se les concede, esto es, en el escrito de solicitudes y </w:t>
      </w:r>
      <w:r w:rsidRPr="00F0074A">
        <w:rPr>
          <w:rFonts w:cs="Verdana"/>
          <w:bCs/>
          <w:iCs/>
        </w:rPr>
        <w:t>argumentos</w:t>
      </w:r>
      <w:r w:rsidRPr="00F0074A">
        <w:rPr>
          <w:rFonts w:eastAsia="MS Mincho"/>
          <w:lang w:bidi="en-US"/>
        </w:rPr>
        <w:t xml:space="preserve">, sin perjuicio de que tales </w:t>
      </w:r>
      <w:r w:rsidRPr="00F0074A">
        <w:t>pretensiones</w:t>
      </w:r>
      <w:r w:rsidRPr="00F0074A">
        <w:rPr>
          <w:rFonts w:eastAsia="MS Mincho"/>
          <w:lang w:bidi="en-US"/>
        </w:rPr>
        <w:t xml:space="preserve"> se actualicen en un momento posterior, conforme a las nuevas costas y gastos en que se haya incurrido con ocasión del procedimiento ante esta Corte”</w:t>
      </w:r>
      <w:r w:rsidRPr="00F0074A">
        <w:rPr>
          <w:rFonts w:eastAsia="MS Mincho"/>
          <w:vertAlign w:val="superscript"/>
          <w:lang w:bidi="en-US"/>
        </w:rPr>
        <w:footnoteReference w:id="131"/>
      </w:r>
      <w:r w:rsidRPr="00F0074A">
        <w:rPr>
          <w:rFonts w:eastAsia="MS Mincho"/>
          <w:lang w:bidi="en-US"/>
        </w:rPr>
        <w:t>. Asimismo, la Corte reitera que no es suficiente la remisión de documentos probatorios, sino que se requiere que las partes hagan una argumentación que relacione la prueba con el hecho que se considera representado, y que, al tratarse de alegados desembolsos económicos, se establezcan con claridad los rubros y la justificación de los mismos</w:t>
      </w:r>
      <w:r w:rsidRPr="00F0074A">
        <w:rPr>
          <w:rFonts w:eastAsia="MS Mincho"/>
          <w:vertAlign w:val="superscript"/>
          <w:lang w:bidi="en-US"/>
        </w:rPr>
        <w:footnoteReference w:id="132"/>
      </w:r>
      <w:r w:rsidRPr="00F0074A">
        <w:rPr>
          <w:rFonts w:eastAsia="MS Mincho"/>
          <w:lang w:bidi="en-US"/>
        </w:rPr>
        <w:t>.</w:t>
      </w:r>
    </w:p>
    <w:p w14:paraId="45E2E396" w14:textId="77777777" w:rsidR="00986049" w:rsidRPr="00F0074A" w:rsidRDefault="00986049" w:rsidP="00986049">
      <w:pPr>
        <w:tabs>
          <w:tab w:val="left" w:pos="567"/>
        </w:tabs>
        <w:spacing w:line="240" w:lineRule="auto"/>
        <w:rPr>
          <w:rFonts w:eastAsia="MS Mincho"/>
          <w:lang w:bidi="en-US"/>
        </w:rPr>
      </w:pPr>
    </w:p>
    <w:p w14:paraId="2C41C2F1" w14:textId="264FE0CE" w:rsidR="00687D89" w:rsidRPr="00F0074A" w:rsidRDefault="00986049" w:rsidP="00687D89">
      <w:pPr>
        <w:numPr>
          <w:ilvl w:val="0"/>
          <w:numId w:val="11"/>
        </w:numPr>
        <w:tabs>
          <w:tab w:val="left" w:pos="567"/>
          <w:tab w:val="num" w:pos="1569"/>
          <w:tab w:val="num" w:pos="12305"/>
        </w:tabs>
        <w:spacing w:line="240" w:lineRule="auto"/>
        <w:ind w:left="0" w:firstLine="0"/>
        <w:rPr>
          <w:rFonts w:cs="Arial"/>
          <w:b/>
        </w:rPr>
      </w:pPr>
      <w:r w:rsidRPr="00F0074A">
        <w:rPr>
          <w:rFonts w:cs="Arial"/>
        </w:rPr>
        <w:t>En el presente caso, el Tribunal observa que no consta en el expediente respaldo probatorio preciso en relación con las costas y gastos en los cuales incurrió el señor Jenkins o sus representantes respecto a la tramitación del caso ante la Comisión. Sin embargo, la Corte considera que tales trámites necesariamente implicaron erogaciones pecuniarias, por lo que determina que el Estado debe entregar al señor Jenkins una suma razonable de US$ 10</w:t>
      </w:r>
      <w:r w:rsidR="005F7A89">
        <w:rPr>
          <w:rFonts w:cs="Arial"/>
        </w:rPr>
        <w:t>,</w:t>
      </w:r>
      <w:r w:rsidRPr="00F0074A">
        <w:rPr>
          <w:rFonts w:cs="Arial"/>
        </w:rPr>
        <w:t>000 (</w:t>
      </w:r>
      <w:r w:rsidR="00687D89" w:rsidRPr="00F0074A">
        <w:rPr>
          <w:rFonts w:cs="Arial"/>
        </w:rPr>
        <w:t>diez</w:t>
      </w:r>
      <w:r w:rsidRPr="00F0074A">
        <w:rPr>
          <w:rFonts w:cs="Arial"/>
        </w:rPr>
        <w:t xml:space="preserve"> mil dólares de los Estados Unidos de América) por concepto de costas y gastos</w:t>
      </w:r>
      <w:r w:rsidR="00FA326D">
        <w:rPr>
          <w:rFonts w:cs="Arial"/>
        </w:rPr>
        <w:t xml:space="preserve"> dimanantes de los procesos internos</w:t>
      </w:r>
      <w:r w:rsidRPr="00F0074A">
        <w:rPr>
          <w:rFonts w:cs="Arial"/>
        </w:rPr>
        <w:t xml:space="preserve">. </w:t>
      </w:r>
      <w:r w:rsidR="00687D89" w:rsidRPr="00F0074A">
        <w:t>En la etapa de supervisión de cumplimiento de la presente Sentencia, la Corte podrá disponer que el Estado reembolse a la víctima o sus representantes los gastos razonables en que incurran en dicha etapa procesal</w:t>
      </w:r>
      <w:r w:rsidR="00687D89" w:rsidRPr="00F0074A">
        <w:rPr>
          <w:rStyle w:val="Refdenotaalpie"/>
        </w:rPr>
        <w:footnoteReference w:id="133"/>
      </w:r>
      <w:r w:rsidR="00687D89" w:rsidRPr="00F0074A">
        <w:t>.</w:t>
      </w:r>
    </w:p>
    <w:p w14:paraId="6FE3EAD7" w14:textId="6865D496" w:rsidR="00390E2D" w:rsidRPr="00F0074A" w:rsidRDefault="00390E2D" w:rsidP="00390E2D">
      <w:pPr>
        <w:pStyle w:val="Ttulo2"/>
      </w:pPr>
      <w:bookmarkStart w:id="133" w:name="_Toc27405452"/>
      <w:bookmarkStart w:id="134" w:name="_Toc495658705"/>
      <w:bookmarkStart w:id="135" w:name="_Toc476390747"/>
      <w:bookmarkStart w:id="136" w:name="_Toc514172673"/>
      <w:bookmarkStart w:id="137" w:name="_Toc16270621"/>
      <w:bookmarkStart w:id="138" w:name="_Toc15933782"/>
      <w:r>
        <w:t>H</w:t>
      </w:r>
      <w:r w:rsidRPr="00F0074A">
        <w:t>.</w:t>
      </w:r>
      <w:r w:rsidRPr="00F0074A">
        <w:tab/>
      </w:r>
      <w:r>
        <w:t xml:space="preserve"> </w:t>
      </w:r>
      <w:r w:rsidRPr="00F0074A">
        <w:t>Reintegro de los gastos al Fondo de Asistencia Legal de Víctimas de la Corte Interamericana</w:t>
      </w:r>
      <w:bookmarkEnd w:id="133"/>
      <w:r w:rsidRPr="00F0074A">
        <w:t xml:space="preserve"> </w:t>
      </w:r>
    </w:p>
    <w:bookmarkEnd w:id="134"/>
    <w:bookmarkEnd w:id="135"/>
    <w:bookmarkEnd w:id="136"/>
    <w:bookmarkEnd w:id="137"/>
    <w:bookmarkEnd w:id="138"/>
    <w:p w14:paraId="47379FDC" w14:textId="77777777" w:rsidR="005B0504" w:rsidRPr="00F0074A" w:rsidRDefault="005B0504" w:rsidP="00E06F63">
      <w:pPr>
        <w:numPr>
          <w:ilvl w:val="0"/>
          <w:numId w:val="11"/>
        </w:numPr>
        <w:tabs>
          <w:tab w:val="left" w:pos="567"/>
          <w:tab w:val="num" w:pos="1569"/>
          <w:tab w:val="num" w:pos="12305"/>
        </w:tabs>
        <w:spacing w:line="240" w:lineRule="auto"/>
        <w:ind w:left="0" w:firstLine="0"/>
        <w:rPr>
          <w:rFonts w:cs="Arial"/>
        </w:rPr>
      </w:pPr>
      <w:r w:rsidRPr="00F0074A">
        <w:rPr>
          <w:rFonts w:eastAsia="MS Mincho" w:cs="Verdana"/>
          <w:snapToGrid w:val="0"/>
          <w:lang w:eastAsia="es-ES" w:bidi="en-US"/>
        </w:rPr>
        <w:t xml:space="preserve">En el 2008 la Asamblea General de la Organización de Estados Americanos creó el Fondo de </w:t>
      </w:r>
      <w:r w:rsidRPr="00F0074A">
        <w:rPr>
          <w:rFonts w:eastAsia="MS Mincho"/>
          <w:lang w:bidi="en-US"/>
        </w:rPr>
        <w:t>Asistencia</w:t>
      </w:r>
      <w:r w:rsidRPr="00F0074A">
        <w:rPr>
          <w:rFonts w:eastAsia="MS Mincho" w:cs="Verdana"/>
          <w:snapToGrid w:val="0"/>
          <w:lang w:eastAsia="es-ES" w:bidi="en-US"/>
        </w:rPr>
        <w:t xml:space="preserve"> Legal del Sistema Interamericano de Derechos Humanos, con el “objeto [de] facilitar acceso al sistema </w:t>
      </w:r>
      <w:r w:rsidRPr="00F0074A">
        <w:t>interamericano</w:t>
      </w:r>
      <w:r w:rsidRPr="00F0074A">
        <w:rPr>
          <w:rFonts w:eastAsia="MS Mincho" w:cs="Verdana"/>
          <w:snapToGrid w:val="0"/>
          <w:lang w:eastAsia="es-ES" w:bidi="en-US"/>
        </w:rPr>
        <w:t xml:space="preserve"> </w:t>
      </w:r>
      <w:r w:rsidRPr="00F0074A">
        <w:rPr>
          <w:rFonts w:eastAsia="MS Mincho"/>
          <w:lang w:bidi="en-US"/>
        </w:rPr>
        <w:t>de</w:t>
      </w:r>
      <w:r w:rsidRPr="00F0074A">
        <w:rPr>
          <w:rFonts w:eastAsia="MS Mincho" w:cs="Verdana"/>
          <w:snapToGrid w:val="0"/>
          <w:lang w:eastAsia="es-ES" w:bidi="en-US"/>
        </w:rPr>
        <w:t xml:space="preserve"> derechos humanos a aquellas personas que actualmente no tienen los recursos necesarios para llevar su caso al sistema”</w:t>
      </w:r>
      <w:r w:rsidRPr="00F0074A">
        <w:rPr>
          <w:rFonts w:eastAsia="MS Mincho" w:cs="Verdana"/>
          <w:snapToGrid w:val="0"/>
          <w:vertAlign w:val="superscript"/>
          <w:lang w:eastAsia="es-ES" w:bidi="en-US"/>
        </w:rPr>
        <w:footnoteReference w:id="134"/>
      </w:r>
      <w:r w:rsidRPr="00F0074A">
        <w:rPr>
          <w:rFonts w:eastAsia="MS Mincho" w:cs="Verdana"/>
          <w:snapToGrid w:val="0"/>
          <w:lang w:eastAsia="es-ES" w:bidi="en-US"/>
        </w:rPr>
        <w:t xml:space="preserve">. </w:t>
      </w:r>
    </w:p>
    <w:p w14:paraId="3BFC85A0" w14:textId="77777777" w:rsidR="005B0504" w:rsidRPr="00F0074A" w:rsidRDefault="005B0504" w:rsidP="00E06F63">
      <w:pPr>
        <w:pStyle w:val="Normal1"/>
        <w:widowControl/>
        <w:contextualSpacing/>
        <w:jc w:val="both"/>
        <w:rPr>
          <w:rFonts w:ascii="Verdana" w:hAnsi="Verdana" w:cs="Arial"/>
          <w:sz w:val="20"/>
          <w:szCs w:val="20"/>
        </w:rPr>
      </w:pPr>
    </w:p>
    <w:p w14:paraId="619F28A2" w14:textId="776B186B" w:rsidR="00140196" w:rsidRPr="00F0074A" w:rsidRDefault="005B0504" w:rsidP="00E06F63">
      <w:pPr>
        <w:numPr>
          <w:ilvl w:val="0"/>
          <w:numId w:val="11"/>
        </w:numPr>
        <w:tabs>
          <w:tab w:val="left" w:pos="567"/>
          <w:tab w:val="num" w:pos="1569"/>
          <w:tab w:val="num" w:pos="12305"/>
        </w:tabs>
        <w:spacing w:line="240" w:lineRule="auto"/>
        <w:ind w:left="0" w:firstLine="0"/>
        <w:rPr>
          <w:rFonts w:cs="Arial"/>
          <w:bCs/>
          <w:lang w:val="es-PE"/>
        </w:rPr>
      </w:pPr>
      <w:r w:rsidRPr="00F0074A">
        <w:rPr>
          <w:rFonts w:eastAsia="Verdana" w:cs="Verdana"/>
          <w:lang w:val="es-PE"/>
        </w:rPr>
        <w:t>Mediante nota de Secretaría de</w:t>
      </w:r>
      <w:r w:rsidR="00AB3AB0" w:rsidRPr="00F0074A">
        <w:rPr>
          <w:rFonts w:eastAsia="Verdana" w:cs="Verdana"/>
          <w:lang w:val="es-PE"/>
        </w:rPr>
        <w:t xml:space="preserve"> la Corte de </w:t>
      </w:r>
      <w:r w:rsidR="003C1B9F" w:rsidRPr="00F0074A">
        <w:rPr>
          <w:rFonts w:eastAsia="Verdana" w:cs="Verdana"/>
          <w:lang w:val="es-PE"/>
        </w:rPr>
        <w:t>20</w:t>
      </w:r>
      <w:r w:rsidR="00AB3AB0" w:rsidRPr="00F0074A">
        <w:rPr>
          <w:rFonts w:eastAsia="Verdana" w:cs="Verdana"/>
          <w:lang w:val="es-PE"/>
        </w:rPr>
        <w:t xml:space="preserve"> de </w:t>
      </w:r>
      <w:r w:rsidR="003C1B9F" w:rsidRPr="00F0074A">
        <w:rPr>
          <w:rFonts w:eastAsia="Verdana" w:cs="Verdana"/>
          <w:lang w:val="es-PE"/>
        </w:rPr>
        <w:t>junio</w:t>
      </w:r>
      <w:r w:rsidR="00AB3AB0" w:rsidRPr="00F0074A">
        <w:rPr>
          <w:rFonts w:eastAsia="Verdana" w:cs="Verdana"/>
          <w:lang w:val="es-PE"/>
        </w:rPr>
        <w:t xml:space="preserve"> del 2019</w:t>
      </w:r>
      <w:r w:rsidRPr="00F0074A">
        <w:rPr>
          <w:rFonts w:eastAsia="Verdana" w:cs="Verdana"/>
          <w:lang w:val="es-PE"/>
        </w:rPr>
        <w:t xml:space="preserve"> se remitió un informe </w:t>
      </w:r>
      <w:r w:rsidRPr="00F0074A">
        <w:rPr>
          <w:lang w:val="es-PE"/>
        </w:rPr>
        <w:t>al</w:t>
      </w:r>
      <w:r w:rsidRPr="00F0074A">
        <w:rPr>
          <w:rFonts w:eastAsia="Verdana" w:cs="Verdana"/>
          <w:lang w:val="es-PE"/>
        </w:rPr>
        <w:t xml:space="preserve"> Estado sobre las erogaciones </w:t>
      </w:r>
      <w:r w:rsidRPr="00F0074A">
        <w:t>efectuadas</w:t>
      </w:r>
      <w:r w:rsidRPr="00F0074A">
        <w:rPr>
          <w:rFonts w:eastAsia="Verdana" w:cs="Verdana"/>
          <w:lang w:val="es-PE"/>
        </w:rPr>
        <w:t xml:space="preserve"> en aplicación del Fondo de Asistencia </w:t>
      </w:r>
      <w:r w:rsidRPr="00F0074A">
        <w:rPr>
          <w:lang w:val="es-MX"/>
        </w:rPr>
        <w:t>Legal de Víctimas</w:t>
      </w:r>
      <w:r w:rsidRPr="00F0074A">
        <w:rPr>
          <w:rFonts w:eastAsia="Verdana" w:cs="Verdana"/>
          <w:lang w:val="es-PE"/>
        </w:rPr>
        <w:t xml:space="preserve"> en el presente caso, las cuales ascendieron a la suma de USD$ </w:t>
      </w:r>
      <w:r w:rsidR="003C1B9F" w:rsidRPr="00F0074A">
        <w:rPr>
          <w:rFonts w:eastAsia="Verdana" w:cs="Verdana"/>
          <w:lang w:val="es-PE"/>
        </w:rPr>
        <w:t xml:space="preserve">6,174.66 </w:t>
      </w:r>
      <w:r w:rsidR="00121688" w:rsidRPr="00F0074A">
        <w:rPr>
          <w:rFonts w:eastAsia="Verdana" w:cs="Verdana"/>
          <w:lang w:val="es-PE"/>
        </w:rPr>
        <w:t>(</w:t>
      </w:r>
      <w:r w:rsidR="003C1B9F" w:rsidRPr="00F0074A">
        <w:rPr>
          <w:rFonts w:eastAsia="Verdana" w:cs="Verdana"/>
          <w:lang w:val="es-PE"/>
        </w:rPr>
        <w:t>seis mil ciento setenta y cuatro con 2/3 dólares</w:t>
      </w:r>
      <w:r w:rsidRPr="00F0074A">
        <w:rPr>
          <w:rFonts w:eastAsia="Verdana" w:cs="Verdana"/>
          <w:lang w:val="es-PE"/>
        </w:rPr>
        <w:t xml:space="preserve"> de los Estados Unidos de América) y, según lo </w:t>
      </w:r>
      <w:r w:rsidRPr="00F0074A">
        <w:rPr>
          <w:lang w:val="es-PE"/>
        </w:rPr>
        <w:t>dispuesto</w:t>
      </w:r>
      <w:r w:rsidRPr="00F0074A">
        <w:rPr>
          <w:rFonts w:eastAsia="Verdana" w:cs="Verdana"/>
          <w:lang w:val="es-PE"/>
        </w:rPr>
        <w:t xml:space="preserve"> en </w:t>
      </w:r>
      <w:r w:rsidRPr="00F0074A">
        <w:rPr>
          <w:rFonts w:eastAsia="MS Mincho"/>
          <w:lang w:bidi="en-US"/>
        </w:rPr>
        <w:t>el</w:t>
      </w:r>
      <w:r w:rsidRPr="00F0074A">
        <w:rPr>
          <w:rFonts w:eastAsia="Verdana" w:cs="Verdana"/>
          <w:lang w:val="es-PE"/>
        </w:rPr>
        <w:t xml:space="preserve"> artículo 5 del Reglamento de la Corte sobre el Funcionamiento del referido Fondo, se otorgó un plazo para que </w:t>
      </w:r>
      <w:r w:rsidR="003759DE" w:rsidRPr="00F0074A">
        <w:rPr>
          <w:rFonts w:eastAsia="Verdana" w:cs="Verdana"/>
          <w:lang w:val="es-PE"/>
        </w:rPr>
        <w:t>Argentina</w:t>
      </w:r>
      <w:r w:rsidRPr="00F0074A">
        <w:rPr>
          <w:rFonts w:eastAsia="Verdana" w:cs="Verdana"/>
          <w:lang w:val="es-PE"/>
        </w:rPr>
        <w:t xml:space="preserve"> presentara las observaciones que estimara pertinentes.</w:t>
      </w:r>
      <w:r w:rsidRPr="00F0074A">
        <w:rPr>
          <w:rFonts w:eastAsia="Verdana" w:cs="Verdana"/>
          <w:i/>
          <w:lang w:val="es-PE"/>
        </w:rPr>
        <w:t xml:space="preserve"> </w:t>
      </w:r>
      <w:r w:rsidRPr="00F0074A">
        <w:rPr>
          <w:rFonts w:eastAsia="Verdana" w:cs="Verdana"/>
          <w:lang w:val="es-PE"/>
        </w:rPr>
        <w:t xml:space="preserve">El </w:t>
      </w:r>
      <w:r w:rsidR="003C1B9F" w:rsidRPr="00F0074A">
        <w:rPr>
          <w:rFonts w:eastAsia="Verdana" w:cs="Verdana"/>
          <w:lang w:val="es-PE"/>
        </w:rPr>
        <w:t xml:space="preserve">2 de julio de 2019 el </w:t>
      </w:r>
      <w:r w:rsidRPr="00F0074A">
        <w:t>Estado</w:t>
      </w:r>
      <w:r w:rsidR="003C1B9F" w:rsidRPr="00F0074A">
        <w:rPr>
          <w:rFonts w:eastAsia="Verdana" w:cs="Verdana"/>
          <w:lang w:val="es-PE"/>
        </w:rPr>
        <w:t xml:space="preserve"> presentó un escrito en virtud del cual comunicó que no tenía observaciones a realizar con respecto al referido informe.</w:t>
      </w:r>
      <w:r w:rsidR="003759DE" w:rsidRPr="00F0074A">
        <w:rPr>
          <w:rFonts w:eastAsia="Verdana" w:cs="Verdana"/>
          <w:lang w:val="es-PE"/>
        </w:rPr>
        <w:t xml:space="preserve"> </w:t>
      </w:r>
    </w:p>
    <w:p w14:paraId="31E6C311" w14:textId="77777777" w:rsidR="00AE6516" w:rsidRPr="00F0074A" w:rsidRDefault="00AE6516" w:rsidP="003C1B9F">
      <w:pPr>
        <w:pStyle w:val="Normal1"/>
        <w:widowControl/>
        <w:tabs>
          <w:tab w:val="left" w:pos="6045"/>
        </w:tabs>
        <w:contextualSpacing/>
        <w:jc w:val="both"/>
        <w:rPr>
          <w:rFonts w:ascii="Verdana" w:hAnsi="Verdana" w:cs="Arial"/>
          <w:b/>
          <w:bCs/>
          <w:sz w:val="20"/>
          <w:szCs w:val="20"/>
          <w:lang w:val="es-PE"/>
        </w:rPr>
      </w:pPr>
    </w:p>
    <w:p w14:paraId="7CD63272" w14:textId="77777777" w:rsidR="005B0504" w:rsidRPr="00F0074A" w:rsidRDefault="0050134A" w:rsidP="00E06F63">
      <w:pPr>
        <w:numPr>
          <w:ilvl w:val="0"/>
          <w:numId w:val="11"/>
        </w:numPr>
        <w:tabs>
          <w:tab w:val="left" w:pos="567"/>
          <w:tab w:val="num" w:pos="1569"/>
          <w:tab w:val="num" w:pos="12305"/>
        </w:tabs>
        <w:spacing w:line="240" w:lineRule="auto"/>
        <w:ind w:left="0" w:firstLine="0"/>
        <w:rPr>
          <w:rFonts w:cs="Arial"/>
          <w:b/>
          <w:bCs/>
          <w:lang w:val="es-PE"/>
        </w:rPr>
      </w:pPr>
      <w:r w:rsidRPr="00F0074A">
        <w:rPr>
          <w:lang w:val="es-MX"/>
        </w:rPr>
        <w:t>A</w:t>
      </w:r>
      <w:r w:rsidR="005B0504" w:rsidRPr="00F0074A">
        <w:rPr>
          <w:lang w:val="es-MX"/>
        </w:rPr>
        <w:t xml:space="preserve"> la luz del artículo 5 del Reglamento del Fondo, en razón de las violaciones declaradas en la presente Sentencia y que se cumplió con los requisitos para acogerse al Fondo, la Corte ordena al Estado el reintegro a dicho Fondo de la cantidad de </w:t>
      </w:r>
      <w:r w:rsidR="003C1B9F" w:rsidRPr="00F0074A">
        <w:rPr>
          <w:rFonts w:eastAsia="Verdana" w:cs="Verdana"/>
          <w:lang w:val="es-PE"/>
        </w:rPr>
        <w:t xml:space="preserve">USD$ 6,174.66 (seis mil ciento setenta y cuatro con 2/3 dólares de los Estados Unidos de América) </w:t>
      </w:r>
      <w:r w:rsidR="005B0504" w:rsidRPr="00F0074A">
        <w:rPr>
          <w:lang w:val="es-MX"/>
        </w:rPr>
        <w:t>por concepto de los gastos necesarios realizados. Dicha cantidad deberá ser reintegrada en el plazo de seis meses, contados a partir de la notificación del presente Fallo.</w:t>
      </w:r>
    </w:p>
    <w:p w14:paraId="0293281F" w14:textId="5F6A215F" w:rsidR="00390E2D" w:rsidRPr="00F0074A" w:rsidRDefault="00390E2D" w:rsidP="00390E2D">
      <w:pPr>
        <w:pStyle w:val="Ttulo2"/>
      </w:pPr>
      <w:bookmarkStart w:id="139" w:name="_Toc27405453"/>
      <w:bookmarkStart w:id="140" w:name="_Toc16270622"/>
      <w:bookmarkStart w:id="141" w:name="_Toc15933783"/>
      <w:bookmarkStart w:id="142" w:name="_Toc495658706"/>
      <w:bookmarkStart w:id="143" w:name="_Toc476390748"/>
      <w:bookmarkStart w:id="144" w:name="_Toc514172674"/>
      <w:r>
        <w:t>I.</w:t>
      </w:r>
      <w:r w:rsidRPr="00F0074A">
        <w:tab/>
      </w:r>
      <w:r>
        <w:t xml:space="preserve"> </w:t>
      </w:r>
      <w:r w:rsidRPr="00F0074A">
        <w:t>Modalidad de cumplimiento de los pagos ordenados</w:t>
      </w:r>
      <w:bookmarkEnd w:id="139"/>
      <w:r w:rsidRPr="00F0074A">
        <w:t xml:space="preserve"> </w:t>
      </w:r>
      <w:bookmarkEnd w:id="140"/>
      <w:bookmarkEnd w:id="141"/>
      <w:bookmarkEnd w:id="142"/>
      <w:bookmarkEnd w:id="143"/>
      <w:bookmarkEnd w:id="144"/>
    </w:p>
    <w:p w14:paraId="624A1681" w14:textId="77777777" w:rsidR="005B0504" w:rsidRPr="00F0074A" w:rsidRDefault="005B0504" w:rsidP="00E06F63">
      <w:pPr>
        <w:numPr>
          <w:ilvl w:val="0"/>
          <w:numId w:val="11"/>
        </w:numPr>
        <w:tabs>
          <w:tab w:val="left" w:pos="567"/>
          <w:tab w:val="num" w:pos="1569"/>
          <w:tab w:val="num" w:pos="12305"/>
        </w:tabs>
        <w:spacing w:line="240" w:lineRule="auto"/>
        <w:ind w:left="0" w:firstLine="0"/>
        <w:rPr>
          <w:rFonts w:eastAsia="MS Mincho"/>
          <w:lang w:bidi="en-US"/>
        </w:rPr>
      </w:pPr>
      <w:r w:rsidRPr="00F0074A">
        <w:rPr>
          <w:rFonts w:eastAsia="MS Mincho"/>
          <w:lang w:bidi="en-US"/>
        </w:rPr>
        <w:t xml:space="preserve">El </w:t>
      </w:r>
      <w:r w:rsidRPr="00F0074A">
        <w:rPr>
          <w:rFonts w:eastAsia="MS Mincho" w:cs="Verdana"/>
          <w:snapToGrid w:val="0"/>
          <w:lang w:eastAsia="es-ES" w:bidi="en-US"/>
        </w:rPr>
        <w:t>Estado</w:t>
      </w:r>
      <w:r w:rsidRPr="00F0074A">
        <w:rPr>
          <w:rFonts w:eastAsia="MS Mincho"/>
          <w:lang w:bidi="en-US"/>
        </w:rPr>
        <w:t xml:space="preserve"> deberá efectuar el pago de las indemnizaciones por concepto de daño </w:t>
      </w:r>
      <w:r w:rsidRPr="00F0074A">
        <w:rPr>
          <w:rFonts w:eastAsia="MS Mincho" w:cs="Verdana"/>
          <w:snapToGrid w:val="0"/>
          <w:lang w:eastAsia="es-ES" w:bidi="en-US"/>
        </w:rPr>
        <w:t>inmaterial</w:t>
      </w:r>
      <w:r w:rsidRPr="00F0074A">
        <w:rPr>
          <w:rFonts w:eastAsia="MS Mincho"/>
          <w:lang w:bidi="en-US"/>
        </w:rPr>
        <w:t xml:space="preserve"> y el reintegro de costas y gastos establecidos en la presente Sentencia directamente a las personas y organizaciones indicadas </w:t>
      </w:r>
      <w:r w:rsidRPr="00F0074A">
        <w:t>en</w:t>
      </w:r>
      <w:r w:rsidRPr="00F0074A">
        <w:rPr>
          <w:rFonts w:eastAsia="MS Mincho"/>
          <w:lang w:bidi="en-US"/>
        </w:rPr>
        <w:t xml:space="preserve"> la misma</w:t>
      </w:r>
      <w:r w:rsidRPr="00F0074A">
        <w:rPr>
          <w:rFonts w:eastAsia="MS Mincho"/>
          <w:lang w:val="es-ES_tradnl" w:bidi="en-US"/>
        </w:rPr>
        <w:t xml:space="preserve">, </w:t>
      </w:r>
      <w:r w:rsidRPr="00F0074A">
        <w:rPr>
          <w:rFonts w:eastAsia="MS Mincho"/>
          <w:lang w:bidi="en-US"/>
        </w:rPr>
        <w:t>dentro del plazo de un año, contado a partir de la notificación del presente fallo, en los términos de los siguientes párrafos.</w:t>
      </w:r>
    </w:p>
    <w:p w14:paraId="4F4E3FF5" w14:textId="77777777" w:rsidR="005B0504" w:rsidRPr="00F0074A" w:rsidRDefault="005B0504" w:rsidP="00E06F63">
      <w:pPr>
        <w:rPr>
          <w:rFonts w:eastAsia="MS Mincho"/>
        </w:rPr>
      </w:pPr>
    </w:p>
    <w:p w14:paraId="07F885D4" w14:textId="299AA303" w:rsidR="005B0504" w:rsidRPr="00F0074A" w:rsidRDefault="005B0504" w:rsidP="00E06F63">
      <w:pPr>
        <w:numPr>
          <w:ilvl w:val="0"/>
          <w:numId w:val="11"/>
        </w:numPr>
        <w:tabs>
          <w:tab w:val="left" w:pos="567"/>
          <w:tab w:val="num" w:pos="1569"/>
          <w:tab w:val="num" w:pos="12305"/>
        </w:tabs>
        <w:spacing w:line="240" w:lineRule="auto"/>
        <w:ind w:left="0" w:firstLine="0"/>
        <w:rPr>
          <w:rFonts w:eastAsia="MS Mincho"/>
          <w:lang w:bidi="en-US"/>
        </w:rPr>
      </w:pPr>
      <w:r w:rsidRPr="00F0074A">
        <w:rPr>
          <w:rFonts w:eastAsia="MS Mincho"/>
          <w:lang w:bidi="en-US"/>
        </w:rPr>
        <w:t xml:space="preserve">En </w:t>
      </w:r>
      <w:r w:rsidRPr="00F0074A">
        <w:rPr>
          <w:rFonts w:eastAsia="MS Mincho" w:cs="Verdana"/>
          <w:snapToGrid w:val="0"/>
          <w:lang w:eastAsia="es-ES" w:bidi="en-US"/>
        </w:rPr>
        <w:t>caso</w:t>
      </w:r>
      <w:r w:rsidRPr="00F0074A">
        <w:rPr>
          <w:rFonts w:eastAsia="MS Mincho"/>
          <w:lang w:bidi="en-US"/>
        </w:rPr>
        <w:t xml:space="preserve"> de que la </w:t>
      </w:r>
      <w:r w:rsidR="005F7A89">
        <w:rPr>
          <w:rFonts w:eastAsia="MS Mincho"/>
          <w:lang w:bidi="en-US"/>
        </w:rPr>
        <w:t xml:space="preserve">parte </w:t>
      </w:r>
      <w:r w:rsidRPr="00F0074A">
        <w:rPr>
          <w:rFonts w:eastAsia="MS Mincho"/>
          <w:lang w:bidi="en-US"/>
        </w:rPr>
        <w:t xml:space="preserve">beneficiaria haya fallecido o fallezca antes de que les sea entregada la indemnización </w:t>
      </w:r>
      <w:r w:rsidRPr="00F0074A">
        <w:t>respectiva</w:t>
      </w:r>
      <w:r w:rsidRPr="00F0074A">
        <w:rPr>
          <w:rFonts w:eastAsia="MS Mincho"/>
          <w:lang w:bidi="en-US"/>
        </w:rPr>
        <w:t>, ésta se efectuará directamente a sus derechohabientes, conforme al derecho interno aplicable.</w:t>
      </w:r>
    </w:p>
    <w:p w14:paraId="3D426B3A" w14:textId="77777777" w:rsidR="00C725C8" w:rsidRDefault="00C725C8" w:rsidP="00C725C8">
      <w:pPr>
        <w:tabs>
          <w:tab w:val="left" w:pos="567"/>
        </w:tabs>
        <w:spacing w:line="240" w:lineRule="auto"/>
        <w:rPr>
          <w:rFonts w:eastAsia="MS Mincho"/>
          <w:lang w:bidi="en-US"/>
        </w:rPr>
      </w:pPr>
    </w:p>
    <w:p w14:paraId="0D993F3B" w14:textId="6D4B06D2" w:rsidR="005B0504" w:rsidRPr="00F0074A" w:rsidRDefault="005B0504" w:rsidP="00E06F63">
      <w:pPr>
        <w:numPr>
          <w:ilvl w:val="0"/>
          <w:numId w:val="11"/>
        </w:numPr>
        <w:tabs>
          <w:tab w:val="left" w:pos="567"/>
          <w:tab w:val="num" w:pos="1569"/>
          <w:tab w:val="num" w:pos="12305"/>
        </w:tabs>
        <w:spacing w:line="240" w:lineRule="auto"/>
        <w:ind w:left="0" w:firstLine="0"/>
        <w:rPr>
          <w:rFonts w:eastAsia="MS Mincho"/>
          <w:lang w:bidi="en-US"/>
        </w:rPr>
      </w:pPr>
      <w:r w:rsidRPr="00F0074A">
        <w:rPr>
          <w:rFonts w:eastAsia="MS Mincho"/>
          <w:lang w:bidi="en-US"/>
        </w:rPr>
        <w:t xml:space="preserve">En lo que respecta a la moneda de pago de las indemnizaciones y reintegro de costas y gastos, el Estado debe cumplir sus obligaciones monetarias mediante el pago en dólares de los Estados Unidos de América o, de no ser esto posible, en su equivalente en moneda </w:t>
      </w:r>
      <w:r w:rsidR="00537440">
        <w:rPr>
          <w:rFonts w:eastAsia="MS Mincho"/>
          <w:lang w:bidi="en-US"/>
        </w:rPr>
        <w:t>argentina</w:t>
      </w:r>
      <w:r w:rsidRPr="00F0074A">
        <w:rPr>
          <w:rFonts w:eastAsia="MS Mincho"/>
          <w:lang w:bidi="en-US"/>
        </w:rPr>
        <w:t xml:space="preserve">, utilizando para el cálculo respectivo la tasa más alta y más beneficiosa para la víctima que permita su ordenamiento interno, </w:t>
      </w:r>
      <w:r w:rsidRPr="00F0074A">
        <w:t>vigente</w:t>
      </w:r>
      <w:r w:rsidRPr="00F0074A">
        <w:rPr>
          <w:rFonts w:eastAsia="MS Mincho"/>
          <w:lang w:bidi="en-US"/>
        </w:rPr>
        <w:t xml:space="preserve"> al momento del pago. Durante la etapa de supervisión de cumplimiento de la sentencia, la Corte podrá reajustar prudentemente el equivalente de estas cifras en moneda </w:t>
      </w:r>
      <w:r w:rsidR="00537440">
        <w:rPr>
          <w:rFonts w:eastAsia="MS Mincho"/>
          <w:lang w:bidi="en-US"/>
        </w:rPr>
        <w:t>argentina</w:t>
      </w:r>
      <w:r w:rsidRPr="00F0074A">
        <w:rPr>
          <w:rFonts w:eastAsia="MS Mincho"/>
          <w:lang w:bidi="en-US"/>
        </w:rPr>
        <w:t>, con el objeto de evitar que las variaciones cambiarias afecten sustancialmente el valor adquisitivo de esos montos.</w:t>
      </w:r>
    </w:p>
    <w:p w14:paraId="4B1B6F7C" w14:textId="77777777" w:rsidR="00821FA5" w:rsidRPr="00F0074A" w:rsidRDefault="00821FA5" w:rsidP="00E06F63">
      <w:pPr>
        <w:pStyle w:val="Normal1"/>
        <w:widowControl/>
        <w:contextualSpacing/>
        <w:jc w:val="both"/>
        <w:rPr>
          <w:rFonts w:ascii="Verdana" w:eastAsia="MS Mincho" w:hAnsi="Verdana"/>
          <w:sz w:val="20"/>
          <w:szCs w:val="20"/>
          <w:lang w:bidi="en-US"/>
        </w:rPr>
      </w:pPr>
    </w:p>
    <w:p w14:paraId="7690B299" w14:textId="6294C545" w:rsidR="005B0504" w:rsidRPr="00F0074A" w:rsidRDefault="005B0504" w:rsidP="00E06F63">
      <w:pPr>
        <w:numPr>
          <w:ilvl w:val="0"/>
          <w:numId w:val="11"/>
        </w:numPr>
        <w:tabs>
          <w:tab w:val="left" w:pos="567"/>
          <w:tab w:val="num" w:pos="1569"/>
          <w:tab w:val="num" w:pos="12305"/>
        </w:tabs>
        <w:spacing w:line="240" w:lineRule="auto"/>
        <w:ind w:left="0" w:firstLine="0"/>
        <w:rPr>
          <w:rFonts w:eastAsia="MS Mincho"/>
          <w:lang w:bidi="en-US"/>
        </w:rPr>
      </w:pPr>
      <w:r w:rsidRPr="00F0074A">
        <w:rPr>
          <w:rFonts w:eastAsia="MS Mincho"/>
          <w:lang w:bidi="en-US"/>
        </w:rPr>
        <w:t xml:space="preserve">Si por causas atribuibles </w:t>
      </w:r>
      <w:r w:rsidR="00537440">
        <w:rPr>
          <w:rFonts w:eastAsia="MS Mincho"/>
          <w:lang w:bidi="en-US"/>
        </w:rPr>
        <w:t>al beneficiario</w:t>
      </w:r>
      <w:r w:rsidRPr="00F0074A">
        <w:rPr>
          <w:rFonts w:eastAsia="MS Mincho"/>
          <w:lang w:bidi="en-US"/>
        </w:rPr>
        <w:t xml:space="preserve"> de las indemnizaciones o a sus derechohabientes no fuese posible el pago de las cantidades determinadas dentro del plazo indicado, el Estado consignará dichos montos a su favor en una cuenta o certificado de depósito en una institución financiera </w:t>
      </w:r>
      <w:r w:rsidR="00537440">
        <w:rPr>
          <w:rFonts w:eastAsia="MS Mincho"/>
          <w:lang w:bidi="en-US"/>
        </w:rPr>
        <w:t>argentina</w:t>
      </w:r>
      <w:r w:rsidRPr="00F0074A">
        <w:rPr>
          <w:rFonts w:eastAsia="MS Mincho"/>
          <w:lang w:bidi="en-US"/>
        </w:rPr>
        <w:t>, en dólares estadounidenses, y en las condiciones financieras más favorables que permitan la legislación y la práctica bancaria. Si no se reclama la indemnización correspondiente una vez transcurridos diez años, las cantidades serán devueltas al Estado con los intereses devengados.</w:t>
      </w:r>
    </w:p>
    <w:p w14:paraId="28208D85" w14:textId="77777777" w:rsidR="005B0504" w:rsidRPr="00F0074A" w:rsidRDefault="005B0504" w:rsidP="00E06F63">
      <w:pPr>
        <w:rPr>
          <w:rFonts w:eastAsiaTheme="minorHAnsi"/>
        </w:rPr>
      </w:pPr>
    </w:p>
    <w:p w14:paraId="03E1FD90" w14:textId="7FFFE7B7" w:rsidR="005B0504" w:rsidRPr="00F0074A" w:rsidRDefault="005B0504" w:rsidP="00E06F63">
      <w:pPr>
        <w:numPr>
          <w:ilvl w:val="0"/>
          <w:numId w:val="11"/>
        </w:numPr>
        <w:tabs>
          <w:tab w:val="left" w:pos="567"/>
          <w:tab w:val="num" w:pos="1569"/>
          <w:tab w:val="num" w:pos="12305"/>
        </w:tabs>
        <w:spacing w:line="240" w:lineRule="auto"/>
        <w:ind w:left="0" w:firstLine="0"/>
        <w:rPr>
          <w:rFonts w:eastAsia="MS Mincho"/>
          <w:lang w:bidi="en-US"/>
        </w:rPr>
      </w:pPr>
      <w:r w:rsidRPr="00F0074A">
        <w:rPr>
          <w:rFonts w:eastAsia="MS Mincho"/>
          <w:lang w:bidi="en-US"/>
        </w:rPr>
        <w:t>Las cantidades asignadas en la presente Sentencia como indemnización y como reintegro de costas y gastos deberá</w:t>
      </w:r>
      <w:r w:rsidR="00537440">
        <w:rPr>
          <w:rFonts w:eastAsia="MS Mincho"/>
          <w:lang w:bidi="en-US"/>
        </w:rPr>
        <w:t>n ser entregadas a la persona indicada</w:t>
      </w:r>
      <w:r w:rsidRPr="00F0074A">
        <w:rPr>
          <w:rFonts w:eastAsia="MS Mincho"/>
          <w:lang w:bidi="en-US"/>
        </w:rPr>
        <w:t xml:space="preserve"> en forma íntegra, conforme a lo establecido en esta Sentencia, sin reducciones derivadas de eventuales cargas fiscales.</w:t>
      </w:r>
    </w:p>
    <w:p w14:paraId="0FC9336A" w14:textId="77777777" w:rsidR="005B0504" w:rsidRPr="00F0074A" w:rsidRDefault="005B0504" w:rsidP="00E06F63">
      <w:pPr>
        <w:tabs>
          <w:tab w:val="left" w:pos="567"/>
          <w:tab w:val="num" w:pos="12305"/>
        </w:tabs>
        <w:spacing w:line="240" w:lineRule="auto"/>
        <w:rPr>
          <w:rFonts w:eastAsiaTheme="minorHAnsi"/>
        </w:rPr>
      </w:pPr>
    </w:p>
    <w:p w14:paraId="34C62287" w14:textId="1212F7A2" w:rsidR="005B0504" w:rsidRPr="00F0074A" w:rsidRDefault="005B0504" w:rsidP="003759DE">
      <w:pPr>
        <w:numPr>
          <w:ilvl w:val="0"/>
          <w:numId w:val="11"/>
        </w:numPr>
        <w:tabs>
          <w:tab w:val="left" w:pos="567"/>
          <w:tab w:val="num" w:pos="1569"/>
          <w:tab w:val="num" w:pos="12305"/>
        </w:tabs>
        <w:spacing w:line="240" w:lineRule="auto"/>
        <w:ind w:left="0" w:firstLine="0"/>
        <w:rPr>
          <w:rFonts w:eastAsia="MS Mincho"/>
          <w:lang w:bidi="en-US"/>
        </w:rPr>
      </w:pPr>
      <w:r w:rsidRPr="00F0074A">
        <w:rPr>
          <w:rFonts w:eastAsia="MS Mincho"/>
          <w:spacing w:val="-2"/>
          <w:lang w:bidi="en-US"/>
        </w:rPr>
        <w:t>En caso de que el Estado incurriera en mora</w:t>
      </w:r>
      <w:r w:rsidRPr="00F0074A">
        <w:rPr>
          <w:rFonts w:eastAsia="MS Mincho" w:cs="Verdana"/>
          <w:spacing w:val="-2"/>
          <w:lang w:bidi="en-US"/>
        </w:rPr>
        <w:t xml:space="preserve">, </w:t>
      </w:r>
      <w:r w:rsidRPr="00F0074A">
        <w:rPr>
          <w:rFonts w:eastAsia="MS Mincho"/>
          <w:lang w:bidi="en-US"/>
        </w:rPr>
        <w:t>incluyendo</w:t>
      </w:r>
      <w:r w:rsidRPr="00F0074A">
        <w:rPr>
          <w:rFonts w:eastAsia="MS Mincho" w:cs="Verdana"/>
          <w:spacing w:val="-2"/>
          <w:lang w:bidi="en-US"/>
        </w:rPr>
        <w:t xml:space="preserve"> en el reintegro de los gastos al Fondo de </w:t>
      </w:r>
      <w:r w:rsidRPr="00F0074A">
        <w:rPr>
          <w:rFonts w:eastAsia="MS Mincho"/>
          <w:lang w:bidi="en-US"/>
        </w:rPr>
        <w:t>Asistencia</w:t>
      </w:r>
      <w:r w:rsidRPr="00F0074A">
        <w:rPr>
          <w:rFonts w:eastAsia="MS Mincho" w:cs="Verdana"/>
          <w:spacing w:val="-2"/>
          <w:lang w:bidi="en-US"/>
        </w:rPr>
        <w:t xml:space="preserve"> Legal de Víctimas de la Corte</w:t>
      </w:r>
      <w:r w:rsidRPr="00F0074A">
        <w:rPr>
          <w:rFonts w:eastAsia="MS Mincho"/>
          <w:spacing w:val="-2"/>
          <w:lang w:bidi="en-US"/>
        </w:rPr>
        <w:t xml:space="preserve">, deberá pagar </w:t>
      </w:r>
      <w:r w:rsidRPr="00F0074A">
        <w:rPr>
          <w:rFonts w:eastAsia="MS Mincho"/>
          <w:lang w:bidi="en-US"/>
        </w:rPr>
        <w:t>un</w:t>
      </w:r>
      <w:r w:rsidRPr="00F0074A">
        <w:rPr>
          <w:rFonts w:eastAsia="MS Mincho"/>
          <w:spacing w:val="-2"/>
          <w:lang w:bidi="en-US"/>
        </w:rPr>
        <w:t xml:space="preserve"> interés sobre la cantidad adeudada, correspondiente al interés bancario moratorio en la República </w:t>
      </w:r>
      <w:r w:rsidR="00537440">
        <w:rPr>
          <w:rFonts w:eastAsia="MS Mincho"/>
          <w:spacing w:val="-2"/>
          <w:lang w:bidi="en-US"/>
        </w:rPr>
        <w:t>Argentina</w:t>
      </w:r>
      <w:r w:rsidRPr="00F0074A">
        <w:rPr>
          <w:rFonts w:eastAsia="MS Mincho"/>
          <w:spacing w:val="-2"/>
          <w:lang w:bidi="en-US"/>
        </w:rPr>
        <w:t>.</w:t>
      </w:r>
    </w:p>
    <w:p w14:paraId="302777A6" w14:textId="77777777" w:rsidR="005B0504" w:rsidRPr="00F0074A" w:rsidRDefault="005B0504" w:rsidP="0010568E">
      <w:pPr>
        <w:pStyle w:val="Ttulo1"/>
      </w:pPr>
      <w:bookmarkStart w:id="145" w:name="_Toc27405454"/>
      <w:r w:rsidRPr="00F0074A">
        <w:t>X</w:t>
      </w:r>
      <w:r w:rsidRPr="00F0074A">
        <w:br/>
        <w:t>PUNTOS RESOLUTIVOS</w:t>
      </w:r>
      <w:bookmarkEnd w:id="91"/>
      <w:bookmarkEnd w:id="92"/>
      <w:bookmarkEnd w:id="93"/>
      <w:bookmarkEnd w:id="94"/>
      <w:bookmarkEnd w:id="95"/>
      <w:bookmarkEnd w:id="96"/>
      <w:bookmarkEnd w:id="97"/>
      <w:bookmarkEnd w:id="145"/>
    </w:p>
    <w:p w14:paraId="7525F6A4" w14:textId="77777777" w:rsidR="001B680E" w:rsidRPr="00F0074A" w:rsidRDefault="00C01360" w:rsidP="00E06F63">
      <w:pPr>
        <w:tabs>
          <w:tab w:val="left" w:pos="720"/>
        </w:tabs>
        <w:spacing w:before="360" w:after="360" w:line="20" w:lineRule="atLeast"/>
        <w:ind w:right="-86"/>
        <w:contextualSpacing/>
        <w:rPr>
          <w:rFonts w:eastAsia="MS Mincho"/>
          <w:b/>
          <w:bCs/>
          <w:lang w:bidi="en-US"/>
        </w:rPr>
      </w:pPr>
      <w:r>
        <w:rPr>
          <w:rFonts w:eastAsia="MS Mincho"/>
          <w:b/>
          <w:bCs/>
          <w:lang w:bidi="en-US"/>
        </w:rPr>
        <w:t>LA CORTE</w:t>
      </w:r>
    </w:p>
    <w:p w14:paraId="4C73DB87" w14:textId="77777777" w:rsidR="001B680E" w:rsidRPr="00F0074A" w:rsidRDefault="001B680E" w:rsidP="00E06F63">
      <w:pPr>
        <w:tabs>
          <w:tab w:val="left" w:pos="720"/>
        </w:tabs>
        <w:spacing w:line="20" w:lineRule="atLeast"/>
        <w:ind w:right="-90"/>
        <w:contextualSpacing/>
      </w:pPr>
    </w:p>
    <w:p w14:paraId="13B99DE4" w14:textId="77777777" w:rsidR="001B680E" w:rsidRDefault="00C01360" w:rsidP="00E06F63">
      <w:pPr>
        <w:tabs>
          <w:tab w:val="left" w:pos="720"/>
        </w:tabs>
        <w:spacing w:before="360" w:after="360" w:line="20" w:lineRule="atLeast"/>
        <w:ind w:right="-86"/>
        <w:contextualSpacing/>
        <w:rPr>
          <w:rFonts w:eastAsia="MS Mincho"/>
          <w:b/>
          <w:bCs/>
          <w:lang w:bidi="en-US"/>
        </w:rPr>
      </w:pPr>
      <w:r>
        <w:rPr>
          <w:rFonts w:eastAsia="MS Mincho"/>
          <w:b/>
          <w:bCs/>
          <w:lang w:bidi="en-US"/>
        </w:rPr>
        <w:t>DECIDE,</w:t>
      </w:r>
    </w:p>
    <w:p w14:paraId="52EAF11E" w14:textId="77777777" w:rsidR="00C01360" w:rsidRDefault="00C01360" w:rsidP="00E06F63">
      <w:pPr>
        <w:tabs>
          <w:tab w:val="left" w:pos="720"/>
        </w:tabs>
        <w:spacing w:before="360" w:after="360" w:line="20" w:lineRule="atLeast"/>
        <w:ind w:right="-86"/>
        <w:contextualSpacing/>
        <w:rPr>
          <w:rFonts w:eastAsia="MS Mincho"/>
          <w:b/>
          <w:bCs/>
          <w:lang w:bidi="en-US"/>
        </w:rPr>
      </w:pPr>
    </w:p>
    <w:p w14:paraId="1A30FC12" w14:textId="278CCE38" w:rsidR="00C01360" w:rsidRPr="00F0074A" w:rsidRDefault="00C01360" w:rsidP="00C01360">
      <w:pPr>
        <w:tabs>
          <w:tab w:val="left" w:pos="720"/>
        </w:tabs>
        <w:spacing w:line="20" w:lineRule="atLeast"/>
        <w:ind w:right="-90"/>
        <w:contextualSpacing/>
        <w:rPr>
          <w:rFonts w:eastAsia="MS Mincho"/>
          <w:lang w:bidi="en-US"/>
        </w:rPr>
      </w:pPr>
      <w:r w:rsidRPr="00F0074A">
        <w:rPr>
          <w:rFonts w:eastAsia="MS Mincho"/>
          <w:lang w:bidi="en-US"/>
        </w:rPr>
        <w:t xml:space="preserve">Por </w:t>
      </w:r>
      <w:r w:rsidR="00E95BF8">
        <w:rPr>
          <w:rFonts w:eastAsia="MS Mincho"/>
          <w:lang w:bidi="en-US"/>
        </w:rPr>
        <w:t>unanimidad,</w:t>
      </w:r>
      <w:r w:rsidRPr="00F0074A">
        <w:rPr>
          <w:rFonts w:eastAsia="MS Mincho"/>
          <w:lang w:bidi="en-US"/>
        </w:rPr>
        <w:t xml:space="preserve"> que:</w:t>
      </w:r>
    </w:p>
    <w:p w14:paraId="6442EECA" w14:textId="77777777" w:rsidR="00C01360" w:rsidRDefault="00C01360" w:rsidP="00C01360">
      <w:pPr>
        <w:tabs>
          <w:tab w:val="left" w:pos="720"/>
        </w:tabs>
        <w:spacing w:line="20" w:lineRule="atLeast"/>
        <w:ind w:right="-90"/>
        <w:contextualSpacing/>
        <w:rPr>
          <w:kern w:val="2"/>
        </w:rPr>
      </w:pPr>
    </w:p>
    <w:p w14:paraId="76CFBAAF" w14:textId="052C8124" w:rsidR="00C01360" w:rsidRDefault="00C01360" w:rsidP="00C01360">
      <w:pPr>
        <w:numPr>
          <w:ilvl w:val="0"/>
          <w:numId w:val="13"/>
        </w:numPr>
        <w:tabs>
          <w:tab w:val="left" w:pos="720"/>
        </w:tabs>
        <w:spacing w:line="20" w:lineRule="atLeast"/>
        <w:ind w:right="-90"/>
        <w:contextualSpacing/>
        <w:rPr>
          <w:kern w:val="2"/>
        </w:rPr>
      </w:pPr>
      <w:r w:rsidRPr="00C01360">
        <w:rPr>
          <w:kern w:val="2"/>
        </w:rPr>
        <w:t xml:space="preserve">Desestimar la excepción preliminar relativa a la </w:t>
      </w:r>
      <w:r w:rsidR="00367639">
        <w:rPr>
          <w:kern w:val="2"/>
        </w:rPr>
        <w:t xml:space="preserve">alegada </w:t>
      </w:r>
      <w:r>
        <w:rPr>
          <w:kern w:val="2"/>
        </w:rPr>
        <w:t xml:space="preserve">insubsistencia de ciertos hechos alegados en </w:t>
      </w:r>
      <w:r w:rsidR="00F569B6">
        <w:rPr>
          <w:kern w:val="2"/>
        </w:rPr>
        <w:t>el Informe de Fondo</w:t>
      </w:r>
      <w:r>
        <w:rPr>
          <w:kern w:val="2"/>
        </w:rPr>
        <w:t xml:space="preserve"> </w:t>
      </w:r>
      <w:r w:rsidRPr="00C01360">
        <w:rPr>
          <w:kern w:val="2"/>
        </w:rPr>
        <w:t xml:space="preserve">de la Comisión y en el escrito de </w:t>
      </w:r>
      <w:r w:rsidR="009D154A">
        <w:rPr>
          <w:kern w:val="2"/>
        </w:rPr>
        <w:t>s</w:t>
      </w:r>
      <w:r w:rsidRPr="00C01360">
        <w:rPr>
          <w:kern w:val="2"/>
        </w:rPr>
        <w:t xml:space="preserve">olicitudes, </w:t>
      </w:r>
      <w:r w:rsidR="009D154A">
        <w:rPr>
          <w:kern w:val="2"/>
        </w:rPr>
        <w:t>a</w:t>
      </w:r>
      <w:r w:rsidRPr="00C01360">
        <w:rPr>
          <w:kern w:val="2"/>
        </w:rPr>
        <w:t xml:space="preserve">rgumentos y </w:t>
      </w:r>
      <w:r w:rsidR="009D154A">
        <w:rPr>
          <w:kern w:val="2"/>
        </w:rPr>
        <w:t>p</w:t>
      </w:r>
      <w:r w:rsidRPr="00C01360">
        <w:rPr>
          <w:kern w:val="2"/>
        </w:rPr>
        <w:t xml:space="preserve">ruebas, de conformidad con </w:t>
      </w:r>
      <w:r w:rsidR="008036BA">
        <w:rPr>
          <w:kern w:val="2"/>
        </w:rPr>
        <w:t>el párrafo 18</w:t>
      </w:r>
      <w:r w:rsidRPr="00C01360">
        <w:rPr>
          <w:kern w:val="2"/>
        </w:rPr>
        <w:t xml:space="preserve"> de esta Sentencia.</w:t>
      </w:r>
    </w:p>
    <w:p w14:paraId="1A39BCB8" w14:textId="77777777" w:rsidR="00C01360" w:rsidRDefault="00C01360" w:rsidP="00C01360">
      <w:pPr>
        <w:tabs>
          <w:tab w:val="left" w:pos="720"/>
        </w:tabs>
        <w:spacing w:line="20" w:lineRule="atLeast"/>
        <w:ind w:right="-90"/>
        <w:contextualSpacing/>
        <w:rPr>
          <w:kern w:val="2"/>
        </w:rPr>
      </w:pPr>
    </w:p>
    <w:p w14:paraId="34099D1C" w14:textId="11D445F5" w:rsidR="00C01360" w:rsidRDefault="00C01360" w:rsidP="00C01360">
      <w:pPr>
        <w:numPr>
          <w:ilvl w:val="0"/>
          <w:numId w:val="13"/>
        </w:numPr>
        <w:tabs>
          <w:tab w:val="left" w:pos="720"/>
        </w:tabs>
        <w:spacing w:line="20" w:lineRule="atLeast"/>
        <w:ind w:right="-90"/>
        <w:contextualSpacing/>
        <w:rPr>
          <w:kern w:val="2"/>
        </w:rPr>
      </w:pPr>
      <w:r w:rsidRPr="00C01360">
        <w:rPr>
          <w:kern w:val="2"/>
        </w:rPr>
        <w:t xml:space="preserve">Desestimar la excepción preliminar relativa a la alegada falta de agotamiento de los recursos internos, </w:t>
      </w:r>
      <w:r w:rsidR="00367639" w:rsidRPr="00C01360">
        <w:rPr>
          <w:kern w:val="2"/>
        </w:rPr>
        <w:t xml:space="preserve">de conformidad con los párrafos </w:t>
      </w:r>
      <w:r w:rsidR="008036BA">
        <w:rPr>
          <w:kern w:val="2"/>
        </w:rPr>
        <w:t>22</w:t>
      </w:r>
      <w:r w:rsidR="00367639" w:rsidRPr="00C01360">
        <w:rPr>
          <w:kern w:val="2"/>
        </w:rPr>
        <w:t xml:space="preserve"> </w:t>
      </w:r>
      <w:r w:rsidR="008036BA">
        <w:rPr>
          <w:kern w:val="2"/>
        </w:rPr>
        <w:t>y</w:t>
      </w:r>
      <w:r w:rsidR="00367639" w:rsidRPr="00C01360">
        <w:rPr>
          <w:kern w:val="2"/>
        </w:rPr>
        <w:t xml:space="preserve"> </w:t>
      </w:r>
      <w:r w:rsidR="008036BA">
        <w:rPr>
          <w:kern w:val="2"/>
        </w:rPr>
        <w:t>23</w:t>
      </w:r>
      <w:r w:rsidR="00367639" w:rsidRPr="00C01360">
        <w:rPr>
          <w:kern w:val="2"/>
        </w:rPr>
        <w:t xml:space="preserve"> de esta Sentencia.</w:t>
      </w:r>
    </w:p>
    <w:p w14:paraId="6FDD12D6" w14:textId="77777777" w:rsidR="00C01360" w:rsidRDefault="00C01360" w:rsidP="00C01360">
      <w:pPr>
        <w:tabs>
          <w:tab w:val="left" w:pos="720"/>
        </w:tabs>
        <w:spacing w:line="20" w:lineRule="atLeast"/>
        <w:ind w:right="-90"/>
        <w:contextualSpacing/>
        <w:rPr>
          <w:kern w:val="2"/>
        </w:rPr>
      </w:pPr>
    </w:p>
    <w:p w14:paraId="0F288984" w14:textId="704FF417" w:rsidR="00D826BD" w:rsidRDefault="00C01360" w:rsidP="00C01360">
      <w:pPr>
        <w:numPr>
          <w:ilvl w:val="0"/>
          <w:numId w:val="13"/>
        </w:numPr>
        <w:tabs>
          <w:tab w:val="left" w:pos="720"/>
        </w:tabs>
        <w:spacing w:line="20" w:lineRule="atLeast"/>
        <w:ind w:right="-90"/>
        <w:contextualSpacing/>
        <w:rPr>
          <w:kern w:val="2"/>
        </w:rPr>
      </w:pPr>
      <w:r w:rsidRPr="00C01360">
        <w:rPr>
          <w:kern w:val="2"/>
        </w:rPr>
        <w:t xml:space="preserve">Desestimar la excepción preliminar relativa a la alegada </w:t>
      </w:r>
      <w:r w:rsidR="00367639">
        <w:rPr>
          <w:kern w:val="2"/>
        </w:rPr>
        <w:t xml:space="preserve">alteración del objeto procesal, </w:t>
      </w:r>
      <w:r w:rsidR="00367639" w:rsidRPr="00C01360">
        <w:rPr>
          <w:kern w:val="2"/>
        </w:rPr>
        <w:t xml:space="preserve">de conformidad con </w:t>
      </w:r>
      <w:r w:rsidR="008036BA">
        <w:rPr>
          <w:kern w:val="2"/>
        </w:rPr>
        <w:t>el párrafo 27</w:t>
      </w:r>
      <w:r w:rsidR="00367639" w:rsidRPr="00C01360">
        <w:rPr>
          <w:kern w:val="2"/>
        </w:rPr>
        <w:t xml:space="preserve"> de esta Sentencia.</w:t>
      </w:r>
    </w:p>
    <w:p w14:paraId="2130447A" w14:textId="77777777" w:rsidR="00C01360" w:rsidRDefault="00C01360" w:rsidP="00C01360">
      <w:pPr>
        <w:tabs>
          <w:tab w:val="left" w:pos="720"/>
        </w:tabs>
        <w:spacing w:line="20" w:lineRule="atLeast"/>
        <w:ind w:right="-90"/>
        <w:contextualSpacing/>
        <w:rPr>
          <w:kern w:val="2"/>
        </w:rPr>
      </w:pPr>
    </w:p>
    <w:p w14:paraId="53BFC6A6" w14:textId="24764046" w:rsidR="00C01360" w:rsidRPr="00C01360" w:rsidRDefault="00C01360" w:rsidP="00C01360">
      <w:pPr>
        <w:numPr>
          <w:ilvl w:val="0"/>
          <w:numId w:val="13"/>
        </w:numPr>
        <w:tabs>
          <w:tab w:val="left" w:pos="720"/>
        </w:tabs>
        <w:spacing w:line="20" w:lineRule="atLeast"/>
        <w:ind w:right="-90"/>
        <w:contextualSpacing/>
        <w:rPr>
          <w:kern w:val="2"/>
        </w:rPr>
      </w:pPr>
      <w:r w:rsidRPr="00C01360">
        <w:rPr>
          <w:kern w:val="2"/>
        </w:rPr>
        <w:t xml:space="preserve">Desestimar la excepción preliminar relativa a la alegada </w:t>
      </w:r>
      <w:r w:rsidR="00367639">
        <w:rPr>
          <w:kern w:val="2"/>
        </w:rPr>
        <w:t xml:space="preserve">falta de competencia en razón de la materia, </w:t>
      </w:r>
      <w:r w:rsidR="00367639" w:rsidRPr="00C01360">
        <w:rPr>
          <w:kern w:val="2"/>
        </w:rPr>
        <w:t xml:space="preserve">de conformidad con los párrafos </w:t>
      </w:r>
      <w:r w:rsidR="008036BA">
        <w:rPr>
          <w:kern w:val="2"/>
        </w:rPr>
        <w:t>31</w:t>
      </w:r>
      <w:r w:rsidR="00367639" w:rsidRPr="00C01360">
        <w:rPr>
          <w:kern w:val="2"/>
        </w:rPr>
        <w:t xml:space="preserve"> </w:t>
      </w:r>
      <w:r w:rsidR="008036BA">
        <w:rPr>
          <w:kern w:val="2"/>
        </w:rPr>
        <w:t>y</w:t>
      </w:r>
      <w:r w:rsidR="00367639" w:rsidRPr="00C01360">
        <w:rPr>
          <w:kern w:val="2"/>
        </w:rPr>
        <w:t xml:space="preserve"> </w:t>
      </w:r>
      <w:r w:rsidR="008036BA">
        <w:rPr>
          <w:kern w:val="2"/>
        </w:rPr>
        <w:t>32</w:t>
      </w:r>
      <w:r w:rsidR="00367639" w:rsidRPr="00C01360">
        <w:rPr>
          <w:kern w:val="2"/>
        </w:rPr>
        <w:t xml:space="preserve"> de esta Sentencia.</w:t>
      </w:r>
    </w:p>
    <w:p w14:paraId="7BB9D1A2" w14:textId="77777777" w:rsidR="00537440" w:rsidRDefault="00537440" w:rsidP="00C01360">
      <w:pPr>
        <w:tabs>
          <w:tab w:val="left" w:pos="720"/>
        </w:tabs>
        <w:spacing w:before="360" w:after="360" w:line="20" w:lineRule="atLeast"/>
        <w:ind w:right="-86"/>
        <w:contextualSpacing/>
        <w:rPr>
          <w:rFonts w:eastAsia="MS Mincho"/>
          <w:b/>
          <w:bCs/>
          <w:lang w:bidi="en-US"/>
        </w:rPr>
      </w:pPr>
    </w:p>
    <w:p w14:paraId="233758B3" w14:textId="77777777" w:rsidR="00C01360" w:rsidRPr="00C01360" w:rsidRDefault="00C01360" w:rsidP="00C01360">
      <w:pPr>
        <w:tabs>
          <w:tab w:val="left" w:pos="720"/>
        </w:tabs>
        <w:spacing w:before="360" w:after="360" w:line="20" w:lineRule="atLeast"/>
        <w:ind w:right="-86"/>
        <w:contextualSpacing/>
        <w:rPr>
          <w:rFonts w:eastAsia="MS Mincho"/>
          <w:b/>
          <w:bCs/>
          <w:lang w:bidi="en-US"/>
        </w:rPr>
      </w:pPr>
      <w:r w:rsidRPr="00C01360">
        <w:rPr>
          <w:rFonts w:eastAsia="MS Mincho"/>
          <w:b/>
          <w:bCs/>
          <w:lang w:bidi="en-US"/>
        </w:rPr>
        <w:t>DECLARA</w:t>
      </w:r>
      <w:r>
        <w:rPr>
          <w:rFonts w:eastAsia="MS Mincho"/>
          <w:b/>
          <w:bCs/>
          <w:lang w:bidi="en-US"/>
        </w:rPr>
        <w:t>,</w:t>
      </w:r>
    </w:p>
    <w:p w14:paraId="1D529895" w14:textId="77777777" w:rsidR="00C01360" w:rsidRPr="00C01360" w:rsidRDefault="00C01360" w:rsidP="00C01360">
      <w:pPr>
        <w:tabs>
          <w:tab w:val="left" w:pos="720"/>
        </w:tabs>
        <w:spacing w:line="20" w:lineRule="atLeast"/>
        <w:ind w:right="-90"/>
        <w:contextualSpacing/>
        <w:rPr>
          <w:kern w:val="2"/>
        </w:rPr>
      </w:pPr>
    </w:p>
    <w:p w14:paraId="04B43F89" w14:textId="05D809AB" w:rsidR="001B680E" w:rsidRPr="00F0074A" w:rsidRDefault="001B680E" w:rsidP="00E06F63">
      <w:pPr>
        <w:tabs>
          <w:tab w:val="left" w:pos="720"/>
        </w:tabs>
        <w:spacing w:line="20" w:lineRule="atLeast"/>
        <w:ind w:right="-90"/>
        <w:contextualSpacing/>
        <w:rPr>
          <w:rFonts w:eastAsia="MS Mincho"/>
          <w:lang w:bidi="en-US"/>
        </w:rPr>
      </w:pPr>
      <w:r w:rsidRPr="00F0074A">
        <w:rPr>
          <w:rFonts w:eastAsia="MS Mincho"/>
          <w:lang w:bidi="en-US"/>
        </w:rPr>
        <w:t xml:space="preserve">Por </w:t>
      </w:r>
      <w:r w:rsidR="00E95BF8">
        <w:rPr>
          <w:rFonts w:eastAsia="MS Mincho"/>
          <w:lang w:bidi="en-US"/>
        </w:rPr>
        <w:t>unanimidad,</w:t>
      </w:r>
      <w:r w:rsidRPr="00F0074A">
        <w:rPr>
          <w:rFonts w:eastAsia="MS Mincho"/>
          <w:lang w:bidi="en-US"/>
        </w:rPr>
        <w:t xml:space="preserve"> que:</w:t>
      </w:r>
    </w:p>
    <w:p w14:paraId="11F60F1D" w14:textId="77777777" w:rsidR="001B680E" w:rsidRPr="00F0074A" w:rsidRDefault="001B680E" w:rsidP="00E06F63">
      <w:pPr>
        <w:spacing w:line="20" w:lineRule="atLeast"/>
        <w:ind w:right="-90"/>
        <w:contextualSpacing/>
        <w:rPr>
          <w:rFonts w:eastAsia="MS Mincho"/>
          <w:lang w:bidi="en-US"/>
        </w:rPr>
      </w:pPr>
    </w:p>
    <w:p w14:paraId="27AE82AF" w14:textId="1524E1B9" w:rsidR="00CD152D" w:rsidRPr="00F0074A" w:rsidRDefault="00CD152D" w:rsidP="00E06F63">
      <w:pPr>
        <w:numPr>
          <w:ilvl w:val="0"/>
          <w:numId w:val="13"/>
        </w:numPr>
        <w:tabs>
          <w:tab w:val="left" w:pos="720"/>
        </w:tabs>
        <w:spacing w:line="20" w:lineRule="atLeast"/>
        <w:ind w:right="-90"/>
        <w:contextualSpacing/>
      </w:pPr>
      <w:r w:rsidRPr="00F0074A">
        <w:rPr>
          <w:kern w:val="2"/>
        </w:rPr>
        <w:t xml:space="preserve">El Estado </w:t>
      </w:r>
      <w:r w:rsidR="003759DE" w:rsidRPr="00F0074A">
        <w:rPr>
          <w:kern w:val="2"/>
        </w:rPr>
        <w:t>es</w:t>
      </w:r>
      <w:r w:rsidRPr="00F0074A">
        <w:rPr>
          <w:kern w:val="2"/>
        </w:rPr>
        <w:t xml:space="preserve"> r</w:t>
      </w:r>
      <w:r w:rsidR="003759DE" w:rsidRPr="00F0074A">
        <w:rPr>
          <w:kern w:val="2"/>
        </w:rPr>
        <w:t xml:space="preserve">esponsable por la violación de los derechos </w:t>
      </w:r>
      <w:r w:rsidRPr="00F0074A">
        <w:rPr>
          <w:kern w:val="2"/>
        </w:rPr>
        <w:t xml:space="preserve">consagrados </w:t>
      </w:r>
      <w:r w:rsidRPr="00F0074A">
        <w:t xml:space="preserve">en los artículos </w:t>
      </w:r>
      <w:r w:rsidR="00367639">
        <w:t>7.1, 7.3</w:t>
      </w:r>
      <w:r w:rsidR="003759DE" w:rsidRPr="00F0074A">
        <w:t xml:space="preserve"> y 8.2 </w:t>
      </w:r>
      <w:r w:rsidRPr="00F0074A">
        <w:t>de la Convención</w:t>
      </w:r>
      <w:r w:rsidRPr="00F0074A">
        <w:rPr>
          <w:kern w:val="2"/>
        </w:rPr>
        <w:t xml:space="preserve"> Americana sobre Derechos Humanos</w:t>
      </w:r>
      <w:r w:rsidRPr="00F0074A">
        <w:t xml:space="preserve">, en relación </w:t>
      </w:r>
      <w:r w:rsidRPr="00F0074A">
        <w:rPr>
          <w:kern w:val="2"/>
        </w:rPr>
        <w:t xml:space="preserve">con el artículo 1.1 </w:t>
      </w:r>
      <w:r w:rsidR="003759DE" w:rsidRPr="00F0074A">
        <w:rPr>
          <w:kern w:val="2"/>
        </w:rPr>
        <w:t>del mismo instrumento</w:t>
      </w:r>
      <w:r w:rsidRPr="00F0074A">
        <w:rPr>
          <w:kern w:val="2"/>
        </w:rPr>
        <w:t>,</w:t>
      </w:r>
      <w:r w:rsidRPr="00F0074A">
        <w:t xml:space="preserve"> </w:t>
      </w:r>
      <w:r w:rsidRPr="00F0074A">
        <w:rPr>
          <w:kern w:val="2"/>
        </w:rPr>
        <w:t>en perjuicio de</w:t>
      </w:r>
      <w:r w:rsidR="003759DE" w:rsidRPr="00F0074A">
        <w:rPr>
          <w:kern w:val="2"/>
        </w:rPr>
        <w:t>l señor Gabriel Óscar Jenkins</w:t>
      </w:r>
      <w:r w:rsidRPr="00F0074A">
        <w:rPr>
          <w:kern w:val="2"/>
        </w:rPr>
        <w:t xml:space="preserve">, </w:t>
      </w:r>
      <w:r w:rsidRPr="00F0074A">
        <w:t xml:space="preserve">en los términos de los párrafos </w:t>
      </w:r>
      <w:r w:rsidR="008036BA">
        <w:t>72</w:t>
      </w:r>
      <w:r w:rsidRPr="00F0074A">
        <w:t xml:space="preserve"> a </w:t>
      </w:r>
      <w:r w:rsidR="008036BA">
        <w:t>82</w:t>
      </w:r>
      <w:r w:rsidRPr="00F0074A">
        <w:t xml:space="preserve"> de la presente Sentencia.</w:t>
      </w:r>
    </w:p>
    <w:p w14:paraId="6CD8416C" w14:textId="77777777" w:rsidR="003759DE" w:rsidRPr="00F0074A" w:rsidRDefault="003759DE" w:rsidP="003759DE">
      <w:pPr>
        <w:tabs>
          <w:tab w:val="left" w:pos="720"/>
        </w:tabs>
        <w:spacing w:line="20" w:lineRule="atLeast"/>
        <w:ind w:right="-90"/>
        <w:contextualSpacing/>
      </w:pPr>
    </w:p>
    <w:p w14:paraId="64E468BE" w14:textId="2308B8E4" w:rsidR="00367639" w:rsidRDefault="003759DE" w:rsidP="00997C54">
      <w:pPr>
        <w:numPr>
          <w:ilvl w:val="0"/>
          <w:numId w:val="13"/>
        </w:numPr>
        <w:tabs>
          <w:tab w:val="left" w:pos="720"/>
        </w:tabs>
        <w:spacing w:line="20" w:lineRule="atLeast"/>
        <w:ind w:right="-90"/>
        <w:contextualSpacing/>
      </w:pPr>
      <w:r w:rsidRPr="00B465BA">
        <w:rPr>
          <w:kern w:val="2"/>
        </w:rPr>
        <w:t xml:space="preserve">El Estado es responsable por la violación de los derechos consagrados </w:t>
      </w:r>
      <w:r w:rsidRPr="00F0074A">
        <w:t xml:space="preserve">en los 7.1, </w:t>
      </w:r>
      <w:r w:rsidR="00367639">
        <w:t xml:space="preserve">7.3, </w:t>
      </w:r>
      <w:r w:rsidRPr="00F0074A">
        <w:t>7.5</w:t>
      </w:r>
      <w:r w:rsidR="00367639">
        <w:t>, 8.2</w:t>
      </w:r>
      <w:r w:rsidRPr="00F0074A">
        <w:t xml:space="preserve"> y 24 de la Convención</w:t>
      </w:r>
      <w:r w:rsidRPr="00B465BA">
        <w:rPr>
          <w:kern w:val="2"/>
        </w:rPr>
        <w:t xml:space="preserve"> Americana sobre Derechos Humanos</w:t>
      </w:r>
      <w:r w:rsidRPr="00F0074A">
        <w:t xml:space="preserve">, en relación </w:t>
      </w:r>
      <w:r w:rsidR="00B465BA">
        <w:t xml:space="preserve">con los </w:t>
      </w:r>
      <w:r w:rsidRPr="00B465BA">
        <w:rPr>
          <w:kern w:val="2"/>
        </w:rPr>
        <w:t>artículo</w:t>
      </w:r>
      <w:r w:rsidR="00B465BA" w:rsidRPr="00B465BA">
        <w:rPr>
          <w:kern w:val="2"/>
        </w:rPr>
        <w:t>s</w:t>
      </w:r>
      <w:r w:rsidRPr="00B465BA">
        <w:rPr>
          <w:kern w:val="2"/>
        </w:rPr>
        <w:t xml:space="preserve"> 1.1 </w:t>
      </w:r>
      <w:r w:rsidR="00B465BA" w:rsidRPr="00B465BA">
        <w:rPr>
          <w:kern w:val="2"/>
        </w:rPr>
        <w:t xml:space="preserve">y 2 </w:t>
      </w:r>
      <w:r w:rsidRPr="00B465BA">
        <w:rPr>
          <w:kern w:val="2"/>
        </w:rPr>
        <w:t>del mismo instrumento,</w:t>
      </w:r>
      <w:r w:rsidRPr="00F0074A">
        <w:t xml:space="preserve"> </w:t>
      </w:r>
      <w:r w:rsidRPr="00B465BA">
        <w:rPr>
          <w:kern w:val="2"/>
        </w:rPr>
        <w:t xml:space="preserve">en perjuicio del señor Gabriel Óscar Jenkins, </w:t>
      </w:r>
      <w:r w:rsidRPr="00F0074A">
        <w:t xml:space="preserve">en los términos de los párrafos </w:t>
      </w:r>
      <w:r w:rsidR="008036BA">
        <w:t>83</w:t>
      </w:r>
      <w:r w:rsidRPr="00F0074A">
        <w:t xml:space="preserve"> a </w:t>
      </w:r>
      <w:r w:rsidR="008036BA">
        <w:t>98</w:t>
      </w:r>
      <w:r w:rsidRPr="00F0074A">
        <w:t xml:space="preserve"> de la presente Sentencia.</w:t>
      </w:r>
      <w:r w:rsidR="00B465BA">
        <w:t xml:space="preserve"> </w:t>
      </w:r>
    </w:p>
    <w:p w14:paraId="20A9D3D4" w14:textId="77777777" w:rsidR="00B465BA" w:rsidRDefault="00B465BA" w:rsidP="00B465BA">
      <w:pPr>
        <w:tabs>
          <w:tab w:val="left" w:pos="720"/>
        </w:tabs>
        <w:spacing w:line="20" w:lineRule="atLeast"/>
        <w:ind w:right="-90"/>
        <w:contextualSpacing/>
      </w:pPr>
    </w:p>
    <w:p w14:paraId="29932DF9" w14:textId="42F42A5B" w:rsidR="00367639" w:rsidRPr="002321AE" w:rsidRDefault="00367639" w:rsidP="00367639">
      <w:pPr>
        <w:numPr>
          <w:ilvl w:val="0"/>
          <w:numId w:val="13"/>
        </w:numPr>
        <w:tabs>
          <w:tab w:val="left" w:pos="720"/>
        </w:tabs>
        <w:spacing w:line="20" w:lineRule="atLeast"/>
        <w:ind w:right="-90"/>
        <w:contextualSpacing/>
      </w:pPr>
      <w:r w:rsidRPr="002321AE">
        <w:rPr>
          <w:kern w:val="2"/>
        </w:rPr>
        <w:t xml:space="preserve">El Estado es responsable por la violación del derecho consagrado en el artículo 7.6 </w:t>
      </w:r>
      <w:r w:rsidRPr="002321AE">
        <w:t>de la Convención</w:t>
      </w:r>
      <w:r w:rsidRPr="002321AE">
        <w:rPr>
          <w:kern w:val="2"/>
        </w:rPr>
        <w:t xml:space="preserve"> Americana sobre Derechos Humanos</w:t>
      </w:r>
      <w:r w:rsidRPr="002321AE">
        <w:t xml:space="preserve">, en relación </w:t>
      </w:r>
      <w:r w:rsidRPr="002321AE">
        <w:rPr>
          <w:kern w:val="2"/>
        </w:rPr>
        <w:t>con el artículo 1.1 del mismo instrumento,</w:t>
      </w:r>
      <w:r w:rsidRPr="002321AE">
        <w:t xml:space="preserve"> </w:t>
      </w:r>
      <w:r w:rsidRPr="002321AE">
        <w:rPr>
          <w:kern w:val="2"/>
        </w:rPr>
        <w:t xml:space="preserve">en perjuicio del señor Gabriel Óscar Jenkins, </w:t>
      </w:r>
      <w:r w:rsidRPr="002321AE">
        <w:t xml:space="preserve">en los términos de los párrafos </w:t>
      </w:r>
      <w:r w:rsidR="008036BA">
        <w:t>99</w:t>
      </w:r>
      <w:r w:rsidRPr="002321AE">
        <w:t xml:space="preserve"> </w:t>
      </w:r>
      <w:r w:rsidR="008036BA">
        <w:t>y</w:t>
      </w:r>
      <w:r w:rsidRPr="002321AE">
        <w:t xml:space="preserve"> </w:t>
      </w:r>
      <w:r w:rsidR="008036BA">
        <w:t>100</w:t>
      </w:r>
      <w:r w:rsidRPr="002321AE">
        <w:t xml:space="preserve"> de la presente Sentencia.</w:t>
      </w:r>
    </w:p>
    <w:p w14:paraId="0E5760FB" w14:textId="77777777" w:rsidR="00367639" w:rsidRPr="00F0074A" w:rsidRDefault="00367639" w:rsidP="00367639">
      <w:pPr>
        <w:tabs>
          <w:tab w:val="left" w:pos="720"/>
        </w:tabs>
        <w:spacing w:line="20" w:lineRule="atLeast"/>
        <w:ind w:right="-90"/>
        <w:contextualSpacing/>
      </w:pPr>
    </w:p>
    <w:p w14:paraId="49304783" w14:textId="4B52C82E" w:rsidR="003759DE" w:rsidRPr="00F0074A" w:rsidRDefault="003759DE" w:rsidP="003759DE">
      <w:pPr>
        <w:numPr>
          <w:ilvl w:val="0"/>
          <w:numId w:val="13"/>
        </w:numPr>
        <w:tabs>
          <w:tab w:val="left" w:pos="720"/>
        </w:tabs>
        <w:spacing w:line="20" w:lineRule="atLeast"/>
        <w:ind w:right="-90"/>
        <w:contextualSpacing/>
      </w:pPr>
      <w:r w:rsidRPr="00F0074A">
        <w:rPr>
          <w:kern w:val="2"/>
        </w:rPr>
        <w:t xml:space="preserve">El Estado es responsable por la violación </w:t>
      </w:r>
      <w:r w:rsidR="00367639">
        <w:rPr>
          <w:kern w:val="2"/>
        </w:rPr>
        <w:t>del derecho a las garantías judiciales consagrado en el artículo 8.1</w:t>
      </w:r>
      <w:r w:rsidRPr="00F0074A">
        <w:t xml:space="preserve"> de la Convención</w:t>
      </w:r>
      <w:r w:rsidRPr="00F0074A">
        <w:rPr>
          <w:kern w:val="2"/>
        </w:rPr>
        <w:t xml:space="preserve"> Americana sobre Derechos Humanos</w:t>
      </w:r>
      <w:r w:rsidRPr="00F0074A">
        <w:t xml:space="preserve">, en relación </w:t>
      </w:r>
      <w:r w:rsidRPr="00F0074A">
        <w:rPr>
          <w:kern w:val="2"/>
        </w:rPr>
        <w:t>con la obligación de garantizar los derechos establecida en el artículo 1.1 del mismo instrumento,</w:t>
      </w:r>
      <w:r w:rsidRPr="00F0074A">
        <w:t xml:space="preserve"> </w:t>
      </w:r>
      <w:r w:rsidRPr="00F0074A">
        <w:rPr>
          <w:kern w:val="2"/>
        </w:rPr>
        <w:t xml:space="preserve">en perjuicio del señor Gabriel Óscar Jenkins, </w:t>
      </w:r>
      <w:r w:rsidRPr="00F0074A">
        <w:t xml:space="preserve">en los términos de los párrafos </w:t>
      </w:r>
      <w:r w:rsidR="008036BA">
        <w:t>106</w:t>
      </w:r>
      <w:r w:rsidRPr="00F0074A">
        <w:t xml:space="preserve"> a </w:t>
      </w:r>
      <w:r w:rsidR="008036BA">
        <w:t>121</w:t>
      </w:r>
      <w:r w:rsidRPr="00F0074A">
        <w:t xml:space="preserve"> de la presente Sentencia.</w:t>
      </w:r>
    </w:p>
    <w:p w14:paraId="5C344D9F" w14:textId="77777777" w:rsidR="001B680E" w:rsidRPr="00F0074A" w:rsidRDefault="001B680E" w:rsidP="00E06F63">
      <w:pPr>
        <w:tabs>
          <w:tab w:val="left" w:pos="720"/>
        </w:tabs>
        <w:spacing w:line="20" w:lineRule="atLeast"/>
        <w:ind w:right="-90"/>
        <w:contextualSpacing/>
      </w:pPr>
    </w:p>
    <w:p w14:paraId="5D92AF37" w14:textId="77777777" w:rsidR="001B680E" w:rsidRPr="00F0074A" w:rsidRDefault="001B680E" w:rsidP="00E06F63">
      <w:pPr>
        <w:tabs>
          <w:tab w:val="left" w:pos="720"/>
        </w:tabs>
        <w:spacing w:before="360" w:after="360" w:line="20" w:lineRule="atLeast"/>
        <w:ind w:right="-86"/>
        <w:contextualSpacing/>
        <w:rPr>
          <w:rFonts w:eastAsia="MS Mincho"/>
          <w:b/>
          <w:bCs/>
          <w:lang w:bidi="en-US"/>
        </w:rPr>
      </w:pPr>
      <w:r w:rsidRPr="00F0074A">
        <w:rPr>
          <w:rFonts w:eastAsia="MS Mincho"/>
          <w:b/>
          <w:bCs/>
          <w:lang w:bidi="en-US"/>
        </w:rPr>
        <w:t>Y DISPONE:</w:t>
      </w:r>
    </w:p>
    <w:p w14:paraId="5F58C4BE" w14:textId="77777777" w:rsidR="001B680E" w:rsidRPr="00F0074A" w:rsidRDefault="001B680E" w:rsidP="00E06F63">
      <w:pPr>
        <w:tabs>
          <w:tab w:val="left" w:pos="720"/>
        </w:tabs>
        <w:spacing w:line="20" w:lineRule="atLeast"/>
        <w:ind w:right="-90"/>
        <w:contextualSpacing/>
        <w:rPr>
          <w:rFonts w:eastAsia="MS Mincho"/>
          <w:b/>
          <w:bCs/>
          <w:lang w:bidi="en-US"/>
        </w:rPr>
      </w:pPr>
    </w:p>
    <w:p w14:paraId="6B809F36" w14:textId="4022E70E" w:rsidR="001B680E" w:rsidRPr="00F0074A" w:rsidRDefault="001B680E" w:rsidP="00E06F63">
      <w:pPr>
        <w:tabs>
          <w:tab w:val="left" w:pos="720"/>
        </w:tabs>
        <w:spacing w:line="20" w:lineRule="atLeast"/>
        <w:ind w:right="-90"/>
        <w:contextualSpacing/>
        <w:rPr>
          <w:rFonts w:eastAsia="MS Mincho"/>
          <w:lang w:bidi="en-US"/>
        </w:rPr>
      </w:pPr>
      <w:r w:rsidRPr="00F0074A">
        <w:rPr>
          <w:rFonts w:eastAsia="MS Mincho"/>
          <w:lang w:bidi="en-US"/>
        </w:rPr>
        <w:t xml:space="preserve">Por </w:t>
      </w:r>
      <w:r w:rsidR="008036BA">
        <w:rPr>
          <w:rFonts w:eastAsia="MS Mincho"/>
          <w:lang w:bidi="en-US"/>
        </w:rPr>
        <w:t>unanimidad</w:t>
      </w:r>
      <w:r w:rsidRPr="00F0074A">
        <w:rPr>
          <w:rFonts w:eastAsia="MS Mincho"/>
          <w:lang w:bidi="en-US"/>
        </w:rPr>
        <w:t>, que:</w:t>
      </w:r>
    </w:p>
    <w:p w14:paraId="4068D3ED" w14:textId="77777777" w:rsidR="001B680E" w:rsidRPr="00F0074A" w:rsidRDefault="001B680E" w:rsidP="00E06F63">
      <w:pPr>
        <w:tabs>
          <w:tab w:val="left" w:pos="720"/>
        </w:tabs>
        <w:spacing w:line="20" w:lineRule="atLeast"/>
        <w:ind w:right="-90"/>
        <w:contextualSpacing/>
        <w:rPr>
          <w:rFonts w:eastAsia="MS Mincho"/>
          <w:bCs/>
          <w:lang w:bidi="en-US"/>
        </w:rPr>
      </w:pPr>
    </w:p>
    <w:p w14:paraId="109707F0" w14:textId="77777777" w:rsidR="001B680E" w:rsidRPr="00F0074A" w:rsidRDefault="001B680E" w:rsidP="00E06F63">
      <w:pPr>
        <w:numPr>
          <w:ilvl w:val="0"/>
          <w:numId w:val="13"/>
        </w:numPr>
        <w:tabs>
          <w:tab w:val="left" w:pos="720"/>
        </w:tabs>
        <w:spacing w:line="20" w:lineRule="atLeast"/>
        <w:ind w:right="-90"/>
        <w:contextualSpacing/>
        <w:rPr>
          <w:bCs/>
        </w:rPr>
      </w:pPr>
      <w:r w:rsidRPr="00F0074A">
        <w:t>Esta</w:t>
      </w:r>
      <w:r w:rsidRPr="00F0074A">
        <w:rPr>
          <w:bCs/>
        </w:rPr>
        <w:t xml:space="preserve"> Sentencia constituye, por sí misma, una forma de reparación.</w:t>
      </w:r>
    </w:p>
    <w:p w14:paraId="0D1837B1" w14:textId="77777777" w:rsidR="00A20F6E" w:rsidRPr="00F0074A" w:rsidRDefault="00A20F6E" w:rsidP="00E06F63">
      <w:pPr>
        <w:tabs>
          <w:tab w:val="left" w:pos="720"/>
        </w:tabs>
        <w:spacing w:line="20" w:lineRule="atLeast"/>
        <w:ind w:right="-90"/>
        <w:contextualSpacing/>
        <w:rPr>
          <w:bCs/>
        </w:rPr>
      </w:pPr>
    </w:p>
    <w:p w14:paraId="751D28EF" w14:textId="35D931F3" w:rsidR="002C55E5" w:rsidRPr="00F0074A" w:rsidRDefault="002C55E5" w:rsidP="00E06F63">
      <w:pPr>
        <w:numPr>
          <w:ilvl w:val="0"/>
          <w:numId w:val="13"/>
        </w:numPr>
        <w:tabs>
          <w:tab w:val="left" w:pos="720"/>
        </w:tabs>
        <w:spacing w:line="20" w:lineRule="atLeast"/>
        <w:ind w:right="-90"/>
        <w:contextualSpacing/>
      </w:pPr>
      <w:r w:rsidRPr="00F0074A">
        <w:rPr>
          <w:lang w:val="es-PE"/>
        </w:rPr>
        <w:t xml:space="preserve">El Estado </w:t>
      </w:r>
      <w:r w:rsidR="00367639">
        <w:rPr>
          <w:lang w:val="es-PE"/>
        </w:rPr>
        <w:t>brindará</w:t>
      </w:r>
      <w:r w:rsidRPr="00F0074A">
        <w:rPr>
          <w:lang w:val="es-PE"/>
        </w:rPr>
        <w:t xml:space="preserve"> gratuitamente en </w:t>
      </w:r>
      <w:r w:rsidR="00AE6516" w:rsidRPr="00F0074A">
        <w:rPr>
          <w:lang w:val="es-PE"/>
        </w:rPr>
        <w:t>Argentina</w:t>
      </w:r>
      <w:r w:rsidRPr="00F0074A">
        <w:rPr>
          <w:lang w:val="es-PE"/>
        </w:rPr>
        <w:t xml:space="preserve"> y de forma inmediata el tratamiento psicológico que requiera el señor </w:t>
      </w:r>
      <w:r w:rsidR="00AE6516" w:rsidRPr="00F0074A">
        <w:rPr>
          <w:lang w:val="es-PE"/>
        </w:rPr>
        <w:t>Gabriel Óscar Jenkins</w:t>
      </w:r>
      <w:r w:rsidRPr="00F0074A">
        <w:rPr>
          <w:lang w:val="es-PE"/>
        </w:rPr>
        <w:t xml:space="preserve">, previo consentimiento informado, y por el tiempo que sea necesario, </w:t>
      </w:r>
      <w:r w:rsidRPr="00F0074A">
        <w:t xml:space="preserve">en los términos </w:t>
      </w:r>
      <w:r w:rsidR="008036BA">
        <w:t>del párrafo 130</w:t>
      </w:r>
      <w:r w:rsidRPr="00F0074A">
        <w:t xml:space="preserve"> de la presente Sentencia.</w:t>
      </w:r>
    </w:p>
    <w:p w14:paraId="7AB85C65" w14:textId="77777777" w:rsidR="001B680E" w:rsidRPr="00F0074A" w:rsidRDefault="001B680E" w:rsidP="00E06F63">
      <w:pPr>
        <w:tabs>
          <w:tab w:val="left" w:pos="720"/>
        </w:tabs>
        <w:spacing w:line="20" w:lineRule="atLeast"/>
        <w:ind w:right="-90"/>
        <w:contextualSpacing/>
        <w:rPr>
          <w:bCs/>
        </w:rPr>
      </w:pPr>
    </w:p>
    <w:p w14:paraId="0DBD8D66" w14:textId="29B2F4ED" w:rsidR="001B680E" w:rsidRPr="00F0074A" w:rsidRDefault="001B680E" w:rsidP="00E06F63">
      <w:pPr>
        <w:numPr>
          <w:ilvl w:val="0"/>
          <w:numId w:val="13"/>
        </w:numPr>
        <w:tabs>
          <w:tab w:val="left" w:pos="720"/>
        </w:tabs>
        <w:spacing w:line="20" w:lineRule="atLeast"/>
        <w:ind w:right="-90"/>
        <w:contextualSpacing/>
        <w:rPr>
          <w:bCs/>
        </w:rPr>
      </w:pPr>
      <w:r w:rsidRPr="00F0074A">
        <w:rPr>
          <w:bCs/>
        </w:rPr>
        <w:t xml:space="preserve">El Estado </w:t>
      </w:r>
      <w:r w:rsidR="00367639">
        <w:rPr>
          <w:bCs/>
        </w:rPr>
        <w:t>realizará</w:t>
      </w:r>
      <w:r w:rsidRPr="00F0074A">
        <w:rPr>
          <w:bCs/>
        </w:rPr>
        <w:t xml:space="preserve"> las publicaciones indicadas en el párrafo </w:t>
      </w:r>
      <w:r w:rsidR="008036BA">
        <w:rPr>
          <w:bCs/>
        </w:rPr>
        <w:t>134</w:t>
      </w:r>
      <w:r w:rsidRPr="00F0074A">
        <w:rPr>
          <w:bCs/>
        </w:rPr>
        <w:t xml:space="preserve"> de la presente Sentencia.</w:t>
      </w:r>
    </w:p>
    <w:p w14:paraId="3BE63B86" w14:textId="77777777" w:rsidR="001B680E" w:rsidRPr="00F0074A" w:rsidRDefault="001B680E" w:rsidP="00E06F63">
      <w:pPr>
        <w:tabs>
          <w:tab w:val="left" w:pos="720"/>
        </w:tabs>
        <w:spacing w:line="20" w:lineRule="atLeast"/>
        <w:ind w:right="-90"/>
        <w:contextualSpacing/>
        <w:rPr>
          <w:bCs/>
        </w:rPr>
      </w:pPr>
    </w:p>
    <w:p w14:paraId="0A8669BC" w14:textId="2DD54BAB" w:rsidR="001B680E" w:rsidRPr="00F0074A" w:rsidRDefault="001B680E" w:rsidP="00E06F63">
      <w:pPr>
        <w:numPr>
          <w:ilvl w:val="0"/>
          <w:numId w:val="13"/>
        </w:numPr>
        <w:tabs>
          <w:tab w:val="left" w:pos="720"/>
        </w:tabs>
        <w:spacing w:line="20" w:lineRule="atLeast"/>
        <w:ind w:right="-90"/>
        <w:contextualSpacing/>
        <w:rPr>
          <w:bCs/>
        </w:rPr>
      </w:pPr>
      <w:r w:rsidRPr="00F0074A">
        <w:rPr>
          <w:bCs/>
        </w:rPr>
        <w:t xml:space="preserve">El Estado </w:t>
      </w:r>
      <w:r w:rsidR="00367639">
        <w:rPr>
          <w:bCs/>
        </w:rPr>
        <w:t>pagará</w:t>
      </w:r>
      <w:r w:rsidRPr="00F0074A">
        <w:rPr>
          <w:bCs/>
        </w:rPr>
        <w:t xml:space="preserve"> la</w:t>
      </w:r>
      <w:r w:rsidR="002C55E5" w:rsidRPr="00F0074A">
        <w:rPr>
          <w:bCs/>
        </w:rPr>
        <w:t>s</w:t>
      </w:r>
      <w:r w:rsidRPr="00F0074A">
        <w:rPr>
          <w:bCs/>
        </w:rPr>
        <w:t xml:space="preserve"> cantidad</w:t>
      </w:r>
      <w:r w:rsidR="002C55E5" w:rsidRPr="00F0074A">
        <w:rPr>
          <w:bCs/>
        </w:rPr>
        <w:t>es</w:t>
      </w:r>
      <w:r w:rsidRPr="00F0074A">
        <w:rPr>
          <w:bCs/>
        </w:rPr>
        <w:t xml:space="preserve"> fijada</w:t>
      </w:r>
      <w:r w:rsidR="002C55E5" w:rsidRPr="00F0074A">
        <w:rPr>
          <w:bCs/>
        </w:rPr>
        <w:t>s</w:t>
      </w:r>
      <w:r w:rsidRPr="00F0074A">
        <w:rPr>
          <w:bCs/>
        </w:rPr>
        <w:t xml:space="preserve"> en </w:t>
      </w:r>
      <w:r w:rsidR="008036BA">
        <w:rPr>
          <w:bCs/>
        </w:rPr>
        <w:t>los párrafos 150, 154, 159 y 165</w:t>
      </w:r>
      <w:r w:rsidRPr="00F0074A">
        <w:rPr>
          <w:bCs/>
        </w:rPr>
        <w:t xml:space="preserve"> de la presente Sentencia por concepto de indemnización por </w:t>
      </w:r>
      <w:r w:rsidR="00FA326D">
        <w:rPr>
          <w:bCs/>
        </w:rPr>
        <w:t xml:space="preserve">concepto de </w:t>
      </w:r>
      <w:r w:rsidRPr="00F0074A">
        <w:rPr>
          <w:bCs/>
        </w:rPr>
        <w:t xml:space="preserve">daño </w:t>
      </w:r>
      <w:r w:rsidR="00FA326D">
        <w:rPr>
          <w:bCs/>
        </w:rPr>
        <w:t xml:space="preserve">material, </w:t>
      </w:r>
      <w:r w:rsidRPr="00F0074A">
        <w:rPr>
          <w:bCs/>
        </w:rPr>
        <w:t>inmaterial</w:t>
      </w:r>
      <w:r w:rsidR="00F022B2">
        <w:rPr>
          <w:bCs/>
        </w:rPr>
        <w:t>,</w:t>
      </w:r>
      <w:r w:rsidR="00FA326D">
        <w:rPr>
          <w:bCs/>
        </w:rPr>
        <w:t xml:space="preserve"> costas</w:t>
      </w:r>
      <w:r w:rsidR="00F022B2">
        <w:rPr>
          <w:bCs/>
        </w:rPr>
        <w:t xml:space="preserve"> y gastos</w:t>
      </w:r>
      <w:r w:rsidRPr="00F0074A">
        <w:rPr>
          <w:bCs/>
        </w:rPr>
        <w:t>.</w:t>
      </w:r>
    </w:p>
    <w:p w14:paraId="619313E8" w14:textId="77777777" w:rsidR="001B680E" w:rsidRPr="00F0074A" w:rsidRDefault="001B680E" w:rsidP="00E06F63">
      <w:pPr>
        <w:tabs>
          <w:tab w:val="left" w:pos="720"/>
        </w:tabs>
        <w:spacing w:line="20" w:lineRule="atLeast"/>
        <w:ind w:right="-90"/>
        <w:contextualSpacing/>
        <w:rPr>
          <w:bCs/>
        </w:rPr>
      </w:pPr>
    </w:p>
    <w:p w14:paraId="626F977A" w14:textId="190ADECF" w:rsidR="001B680E" w:rsidRPr="00F0074A" w:rsidRDefault="001B680E" w:rsidP="00E06F63">
      <w:pPr>
        <w:numPr>
          <w:ilvl w:val="0"/>
          <w:numId w:val="13"/>
        </w:numPr>
        <w:tabs>
          <w:tab w:val="left" w:pos="720"/>
        </w:tabs>
        <w:spacing w:line="20" w:lineRule="atLeast"/>
        <w:ind w:right="-90"/>
        <w:contextualSpacing/>
      </w:pPr>
      <w:r w:rsidRPr="00F0074A">
        <w:t xml:space="preserve">El Estado </w:t>
      </w:r>
      <w:r w:rsidR="00367639">
        <w:t>reintegrará</w:t>
      </w:r>
      <w:r w:rsidRPr="00F0074A">
        <w:t xml:space="preserve"> al Fondo de Asistencia Legal de Víctimas de la Corte Interamericana de Derechos Humanos la cantidad erogada durante la tramitación del presente caso, en los términos del párrafo </w:t>
      </w:r>
      <w:r w:rsidR="00627A64">
        <w:t>168</w:t>
      </w:r>
      <w:r w:rsidRPr="00F0074A">
        <w:t xml:space="preserve"> de esta Sentencia.</w:t>
      </w:r>
    </w:p>
    <w:p w14:paraId="6E13083F" w14:textId="77777777" w:rsidR="001B680E" w:rsidRPr="00F0074A" w:rsidRDefault="001B680E" w:rsidP="00E06F63">
      <w:pPr>
        <w:tabs>
          <w:tab w:val="left" w:pos="720"/>
        </w:tabs>
        <w:spacing w:line="20" w:lineRule="atLeast"/>
        <w:ind w:right="-90"/>
        <w:contextualSpacing/>
      </w:pPr>
    </w:p>
    <w:p w14:paraId="6B304C6D" w14:textId="20ED30A6" w:rsidR="001B680E" w:rsidRPr="00F0074A" w:rsidRDefault="001B680E" w:rsidP="00E06F63">
      <w:pPr>
        <w:numPr>
          <w:ilvl w:val="0"/>
          <w:numId w:val="13"/>
        </w:numPr>
        <w:tabs>
          <w:tab w:val="left" w:pos="720"/>
        </w:tabs>
        <w:spacing w:line="20" w:lineRule="atLeast"/>
        <w:ind w:right="-90"/>
        <w:contextualSpacing/>
        <w:rPr>
          <w:rFonts w:eastAsia="MS Mincho"/>
          <w:bCs/>
          <w:lang w:bidi="en-US"/>
        </w:rPr>
      </w:pPr>
      <w:r w:rsidRPr="00F0074A">
        <w:rPr>
          <w:bCs/>
        </w:rPr>
        <w:t xml:space="preserve">El Estado, dentro del plazo de un año contado a partir de la notificación de esta Sentencia, </w:t>
      </w:r>
      <w:r w:rsidR="00367639">
        <w:rPr>
          <w:bCs/>
        </w:rPr>
        <w:t>rendirá</w:t>
      </w:r>
      <w:r w:rsidRPr="00F0074A">
        <w:rPr>
          <w:bCs/>
        </w:rPr>
        <w:t xml:space="preserve"> al Tribunal un informe sobre las medidas adoptadas para cumplir con la misma</w:t>
      </w:r>
      <w:r w:rsidR="00627A64">
        <w:rPr>
          <w:bCs/>
        </w:rPr>
        <w:t>.</w:t>
      </w:r>
    </w:p>
    <w:p w14:paraId="36F0CF09" w14:textId="77777777" w:rsidR="001B680E" w:rsidRPr="00F0074A" w:rsidRDefault="001B680E" w:rsidP="00E06F63">
      <w:pPr>
        <w:tabs>
          <w:tab w:val="left" w:pos="720"/>
        </w:tabs>
        <w:spacing w:line="20" w:lineRule="atLeast"/>
        <w:ind w:right="-90"/>
        <w:contextualSpacing/>
        <w:rPr>
          <w:rFonts w:eastAsia="MS Mincho"/>
          <w:bCs/>
          <w:lang w:bidi="en-US"/>
        </w:rPr>
      </w:pPr>
    </w:p>
    <w:p w14:paraId="4F43533A" w14:textId="77777777" w:rsidR="001B680E" w:rsidRPr="00F0074A" w:rsidRDefault="001B680E" w:rsidP="00E06F63">
      <w:pPr>
        <w:numPr>
          <w:ilvl w:val="0"/>
          <w:numId w:val="13"/>
        </w:numPr>
        <w:tabs>
          <w:tab w:val="left" w:pos="720"/>
        </w:tabs>
        <w:spacing w:line="20" w:lineRule="atLeast"/>
        <w:ind w:right="-90"/>
        <w:contextualSpacing/>
        <w:rPr>
          <w:b/>
          <w:bCs/>
        </w:rPr>
      </w:pPr>
      <w:r w:rsidRPr="00F0074A">
        <w:rPr>
          <w:bCs/>
        </w:rPr>
        <w:t>La Corte supervisará el cumplimiento íntegro de esta Sentencia, en ejercicio de sus atribuciones y en cumplimiento de sus deberes conforme a la Convención Americana sobre Derechos Humanos, y dará por concluido el presente caso una vez que el Estado haya dado cabal cumplimiento a lo dispuesto en la misma.</w:t>
      </w:r>
    </w:p>
    <w:p w14:paraId="64DCB26F" w14:textId="77777777" w:rsidR="001B680E" w:rsidRPr="00F0074A" w:rsidRDefault="001B680E" w:rsidP="00E06F63">
      <w:pPr>
        <w:tabs>
          <w:tab w:val="left" w:pos="720"/>
        </w:tabs>
        <w:spacing w:line="20" w:lineRule="atLeast"/>
        <w:ind w:right="-93"/>
        <w:contextualSpacing/>
        <w:rPr>
          <w:rFonts w:cs="Verdana"/>
          <w:color w:val="FF0000"/>
        </w:rPr>
      </w:pPr>
    </w:p>
    <w:p w14:paraId="4439270D" w14:textId="08B716B4" w:rsidR="00A668C7" w:rsidRDefault="001B680E" w:rsidP="000A0DA8">
      <w:pPr>
        <w:tabs>
          <w:tab w:val="left" w:pos="720"/>
        </w:tabs>
        <w:spacing w:line="20" w:lineRule="atLeast"/>
        <w:ind w:right="-93"/>
        <w:contextualSpacing/>
        <w:rPr>
          <w:rFonts w:cs="Verdana"/>
        </w:rPr>
      </w:pPr>
      <w:r w:rsidRPr="00F0074A">
        <w:rPr>
          <w:rFonts w:cs="Verdana"/>
        </w:rPr>
        <w:t xml:space="preserve">Redactada en español en </w:t>
      </w:r>
      <w:r w:rsidR="00A316CD" w:rsidRPr="00F0074A">
        <w:rPr>
          <w:rFonts w:cs="Verdana"/>
        </w:rPr>
        <w:t xml:space="preserve">San José, Costa Rica, </w:t>
      </w:r>
      <w:r w:rsidRPr="00F0074A">
        <w:rPr>
          <w:rFonts w:cs="Verdana"/>
        </w:rPr>
        <w:t xml:space="preserve">el </w:t>
      </w:r>
      <w:r w:rsidR="005856BA">
        <w:rPr>
          <w:rFonts w:cs="Verdana"/>
        </w:rPr>
        <w:t>26</w:t>
      </w:r>
      <w:r w:rsidRPr="00F0074A">
        <w:rPr>
          <w:rFonts w:cs="Verdana"/>
        </w:rPr>
        <w:t xml:space="preserve"> de </w:t>
      </w:r>
      <w:r w:rsidR="00AE6516" w:rsidRPr="00F0074A">
        <w:rPr>
          <w:rFonts w:cs="Verdana"/>
        </w:rPr>
        <w:t>noviembre</w:t>
      </w:r>
      <w:r w:rsidRPr="00F0074A">
        <w:rPr>
          <w:rFonts w:cs="Verdana"/>
        </w:rPr>
        <w:t xml:space="preserve"> de 2019.</w:t>
      </w:r>
    </w:p>
    <w:p w14:paraId="72EEBECB" w14:textId="77777777" w:rsidR="00A668C7" w:rsidRDefault="00A668C7">
      <w:pPr>
        <w:widowControl/>
        <w:adjustRightInd/>
        <w:spacing w:after="160" w:line="259" w:lineRule="auto"/>
        <w:jc w:val="left"/>
        <w:textAlignment w:val="auto"/>
        <w:rPr>
          <w:rFonts w:cs="Verdana"/>
        </w:rPr>
      </w:pPr>
      <w:r>
        <w:rPr>
          <w:rFonts w:cs="Verdana"/>
        </w:rPr>
        <w:br w:type="page"/>
      </w:r>
    </w:p>
    <w:p w14:paraId="3B54A2FA" w14:textId="77777777" w:rsidR="00A668C7" w:rsidRDefault="00A668C7" w:rsidP="00A668C7">
      <w:r>
        <w:t xml:space="preserve">Corte IDH. </w:t>
      </w:r>
      <w:r w:rsidRPr="00433F2D">
        <w:rPr>
          <w:i/>
        </w:rPr>
        <w:t xml:space="preserve">Caso </w:t>
      </w:r>
      <w:r>
        <w:rPr>
          <w:i/>
        </w:rPr>
        <w:t>Jenkins Vs. Argentina</w:t>
      </w:r>
      <w:r>
        <w:t>. Excepciones Preliminares, Fondo, Reparaciones y Costas. Sentencia de 26 de noviembre de 2019.</w:t>
      </w:r>
    </w:p>
    <w:p w14:paraId="38FD2A36" w14:textId="77777777" w:rsidR="00A668C7" w:rsidRDefault="00A668C7" w:rsidP="00A668C7"/>
    <w:p w14:paraId="634927D7" w14:textId="2A7EE8E8" w:rsidR="00A668C7" w:rsidRDefault="00A668C7" w:rsidP="00A668C7"/>
    <w:p w14:paraId="61B9D69C" w14:textId="316AFFB5" w:rsidR="00A668C7" w:rsidRDefault="00A668C7" w:rsidP="00A668C7"/>
    <w:p w14:paraId="70E07ED8" w14:textId="77777777" w:rsidR="00A668C7" w:rsidRDefault="00A668C7" w:rsidP="00A668C7"/>
    <w:p w14:paraId="628601D2" w14:textId="77777777" w:rsidR="00A668C7" w:rsidRDefault="00A668C7" w:rsidP="00A668C7">
      <w:pPr>
        <w:jc w:val="center"/>
      </w:pPr>
      <w:r>
        <w:t>Eduardo Vio Grossi</w:t>
      </w:r>
    </w:p>
    <w:p w14:paraId="4A00C6BB" w14:textId="77777777" w:rsidR="00A668C7" w:rsidRDefault="00A668C7" w:rsidP="00A668C7">
      <w:pPr>
        <w:jc w:val="center"/>
      </w:pPr>
      <w:r>
        <w:t>Presidente en ejercicio</w:t>
      </w:r>
    </w:p>
    <w:p w14:paraId="1AD4CDED" w14:textId="77777777" w:rsidR="00A668C7" w:rsidRDefault="00A668C7" w:rsidP="00A668C7"/>
    <w:p w14:paraId="70ECB657" w14:textId="77777777" w:rsidR="00A668C7" w:rsidRDefault="00A668C7" w:rsidP="00A668C7"/>
    <w:p w14:paraId="441C1F1E" w14:textId="77777777" w:rsidR="00A668C7" w:rsidRDefault="00A668C7" w:rsidP="00A668C7"/>
    <w:p w14:paraId="5B1FD118" w14:textId="77777777" w:rsidR="00A668C7" w:rsidRDefault="00A668C7" w:rsidP="00A668C7">
      <w:r>
        <w:t>Humberto Antonio Sierra Porto</w:t>
      </w:r>
      <w:r>
        <w:tab/>
      </w:r>
      <w:r>
        <w:tab/>
      </w:r>
      <w:r>
        <w:tab/>
      </w:r>
      <w:r>
        <w:tab/>
      </w:r>
      <w:r>
        <w:tab/>
      </w:r>
      <w:r>
        <w:tab/>
        <w:t>Elizabeth Odio Benito</w:t>
      </w:r>
      <w:r>
        <w:tab/>
      </w:r>
    </w:p>
    <w:p w14:paraId="6EA559DC" w14:textId="77777777" w:rsidR="00A668C7" w:rsidRDefault="00A668C7" w:rsidP="00A668C7"/>
    <w:p w14:paraId="58754C73" w14:textId="77777777" w:rsidR="00A668C7" w:rsidRDefault="00A668C7" w:rsidP="00A668C7"/>
    <w:p w14:paraId="04F6BF2F" w14:textId="77777777" w:rsidR="00A668C7" w:rsidRDefault="00A668C7" w:rsidP="00A668C7"/>
    <w:p w14:paraId="091133E9" w14:textId="77777777" w:rsidR="00A668C7" w:rsidRDefault="00A668C7" w:rsidP="00A668C7"/>
    <w:p w14:paraId="74013035" w14:textId="77777777" w:rsidR="00A668C7" w:rsidRPr="003D652A" w:rsidRDefault="00A668C7" w:rsidP="00A668C7">
      <w:r>
        <w:t>L. Patricio Pazmiño Freire</w:t>
      </w:r>
      <w:r>
        <w:tab/>
      </w:r>
      <w:r>
        <w:tab/>
      </w:r>
      <w:r>
        <w:tab/>
      </w:r>
      <w:r>
        <w:tab/>
      </w:r>
      <w:r>
        <w:tab/>
        <w:t xml:space="preserve">            Ricardo </w:t>
      </w:r>
      <w:r w:rsidRPr="00433F2D">
        <w:t>C.</w:t>
      </w:r>
      <w:r>
        <w:t xml:space="preserve"> Pérez Manrique</w:t>
      </w:r>
    </w:p>
    <w:p w14:paraId="6CA354CA" w14:textId="77777777" w:rsidR="00A668C7" w:rsidRDefault="00A668C7" w:rsidP="00A668C7">
      <w:r>
        <w:tab/>
      </w:r>
      <w:r>
        <w:tab/>
      </w:r>
      <w:r>
        <w:tab/>
      </w:r>
    </w:p>
    <w:p w14:paraId="50F8CD2E" w14:textId="77777777" w:rsidR="00A668C7" w:rsidRDefault="00A668C7" w:rsidP="00A668C7"/>
    <w:p w14:paraId="73E44B07" w14:textId="77777777" w:rsidR="00A668C7" w:rsidRDefault="00A668C7" w:rsidP="00A668C7"/>
    <w:p w14:paraId="03BDCF4F" w14:textId="77777777" w:rsidR="00A668C7" w:rsidRPr="00274D2F" w:rsidRDefault="00A668C7" w:rsidP="00A668C7">
      <w:pPr>
        <w:tabs>
          <w:tab w:val="left" w:pos="8460"/>
          <w:tab w:val="left" w:pos="8640"/>
        </w:tabs>
      </w:pPr>
    </w:p>
    <w:p w14:paraId="23C6ADD1" w14:textId="77777777" w:rsidR="00A668C7" w:rsidRDefault="00A668C7" w:rsidP="00A668C7">
      <w:pPr>
        <w:tabs>
          <w:tab w:val="left" w:pos="8460"/>
          <w:tab w:val="left" w:pos="8640"/>
        </w:tabs>
        <w:jc w:val="center"/>
      </w:pPr>
      <w:r>
        <w:t>Pablo Saavedra Alessandri</w:t>
      </w:r>
    </w:p>
    <w:p w14:paraId="1806F389" w14:textId="77777777" w:rsidR="00A668C7" w:rsidRDefault="00A668C7" w:rsidP="00A668C7">
      <w:pPr>
        <w:tabs>
          <w:tab w:val="left" w:pos="8460"/>
          <w:tab w:val="left" w:pos="8640"/>
        </w:tabs>
        <w:jc w:val="center"/>
      </w:pPr>
      <w:r>
        <w:t>Secretario</w:t>
      </w:r>
    </w:p>
    <w:p w14:paraId="5DB9829E" w14:textId="77777777" w:rsidR="00A668C7" w:rsidRDefault="00A668C7" w:rsidP="00A668C7">
      <w:pPr>
        <w:tabs>
          <w:tab w:val="left" w:pos="8460"/>
          <w:tab w:val="left" w:pos="8640"/>
        </w:tabs>
      </w:pPr>
    </w:p>
    <w:p w14:paraId="30D4DBEA" w14:textId="77777777" w:rsidR="00A668C7" w:rsidRDefault="00A668C7" w:rsidP="00A668C7"/>
    <w:p w14:paraId="710564CA" w14:textId="77777777" w:rsidR="00A668C7" w:rsidRDefault="00A668C7" w:rsidP="00A668C7">
      <w:pPr>
        <w:tabs>
          <w:tab w:val="left" w:pos="8460"/>
          <w:tab w:val="left" w:pos="8640"/>
        </w:tabs>
      </w:pPr>
      <w:r>
        <w:t>Comuníquese y ejecútese,</w:t>
      </w:r>
    </w:p>
    <w:p w14:paraId="76F88FD7" w14:textId="77777777" w:rsidR="00A668C7" w:rsidRDefault="00A668C7" w:rsidP="00A668C7">
      <w:pPr>
        <w:tabs>
          <w:tab w:val="left" w:pos="8460"/>
          <w:tab w:val="left" w:pos="8640"/>
        </w:tabs>
      </w:pPr>
    </w:p>
    <w:p w14:paraId="4D93FBCE" w14:textId="77777777" w:rsidR="00A668C7" w:rsidRDefault="00A668C7" w:rsidP="00A668C7">
      <w:pPr>
        <w:tabs>
          <w:tab w:val="left" w:pos="8460"/>
          <w:tab w:val="left" w:pos="8640"/>
        </w:tabs>
      </w:pPr>
    </w:p>
    <w:p w14:paraId="412FFAEF" w14:textId="77777777" w:rsidR="00A668C7" w:rsidRDefault="00A668C7" w:rsidP="00A668C7">
      <w:pPr>
        <w:ind w:left="5760" w:firstLine="720"/>
        <w:jc w:val="center"/>
      </w:pPr>
      <w:r>
        <w:t xml:space="preserve">          Eduardo Vio Grossi</w:t>
      </w:r>
    </w:p>
    <w:p w14:paraId="68BA6848" w14:textId="77777777" w:rsidR="00A668C7" w:rsidRDefault="00A668C7" w:rsidP="00A668C7">
      <w:pPr>
        <w:ind w:left="5760" w:firstLine="720"/>
        <w:jc w:val="center"/>
      </w:pPr>
      <w:r>
        <w:t xml:space="preserve">       Presidente en ejercicio</w:t>
      </w:r>
    </w:p>
    <w:p w14:paraId="523F7A9B" w14:textId="77777777" w:rsidR="00A668C7" w:rsidRDefault="00A668C7" w:rsidP="00A668C7">
      <w:pPr>
        <w:tabs>
          <w:tab w:val="left" w:pos="8460"/>
          <w:tab w:val="left" w:pos="8640"/>
        </w:tabs>
      </w:pPr>
    </w:p>
    <w:p w14:paraId="684F6E16" w14:textId="77777777" w:rsidR="00A668C7" w:rsidRDefault="00A668C7" w:rsidP="00A668C7">
      <w:pPr>
        <w:tabs>
          <w:tab w:val="left" w:pos="8460"/>
          <w:tab w:val="left" w:pos="8640"/>
        </w:tabs>
      </w:pPr>
    </w:p>
    <w:p w14:paraId="4A3F43C5" w14:textId="77777777" w:rsidR="00A668C7" w:rsidRDefault="00A668C7" w:rsidP="00A668C7">
      <w:pPr>
        <w:tabs>
          <w:tab w:val="left" w:pos="8460"/>
          <w:tab w:val="left" w:pos="8640"/>
        </w:tabs>
      </w:pPr>
    </w:p>
    <w:p w14:paraId="7817A71E" w14:textId="77777777" w:rsidR="00A668C7" w:rsidRDefault="00A668C7" w:rsidP="00A668C7">
      <w:pPr>
        <w:tabs>
          <w:tab w:val="left" w:pos="8460"/>
          <w:tab w:val="left" w:pos="8640"/>
        </w:tabs>
      </w:pPr>
      <w:r>
        <w:t>Pablo Saavedra Alessandri</w:t>
      </w:r>
    </w:p>
    <w:p w14:paraId="3E731FD6" w14:textId="77777777" w:rsidR="00A668C7" w:rsidRDefault="00A668C7" w:rsidP="00A668C7">
      <w:pPr>
        <w:tabs>
          <w:tab w:val="left" w:pos="8640"/>
        </w:tabs>
        <w:ind w:left="720"/>
      </w:pPr>
      <w:r>
        <w:t xml:space="preserve">  Secretario</w:t>
      </w:r>
    </w:p>
    <w:p w14:paraId="3E42189D" w14:textId="77777777" w:rsidR="005B0504" w:rsidRPr="00F0074A" w:rsidRDefault="005B0504" w:rsidP="000A0DA8">
      <w:pPr>
        <w:tabs>
          <w:tab w:val="left" w:pos="720"/>
        </w:tabs>
        <w:spacing w:line="20" w:lineRule="atLeast"/>
        <w:ind w:right="-93"/>
        <w:contextualSpacing/>
      </w:pPr>
    </w:p>
    <w:sectPr w:rsidR="005B0504" w:rsidRPr="00F0074A" w:rsidSect="00100F11">
      <w:headerReference w:type="default" r:id="rId9"/>
      <w:footerReference w:type="default" r:id="rId10"/>
      <w:headerReference w:type="first" r:id="rId11"/>
      <w:footerReference w:type="first" r:id="rId12"/>
      <w:pgSz w:w="12240" w:h="15840"/>
      <w:pgMar w:top="1440" w:right="1080" w:bottom="540" w:left="108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47747A" w14:textId="77777777" w:rsidR="00EB64EC" w:rsidRDefault="00EB64EC" w:rsidP="00F94D74">
      <w:r>
        <w:separator/>
      </w:r>
    </w:p>
    <w:p w14:paraId="574C373F" w14:textId="77777777" w:rsidR="00EB64EC" w:rsidRDefault="00EB64EC" w:rsidP="00F94D74"/>
  </w:endnote>
  <w:endnote w:type="continuationSeparator" w:id="0">
    <w:p w14:paraId="1D5E97D3" w14:textId="77777777" w:rsidR="00EB64EC" w:rsidRDefault="00EB64EC" w:rsidP="00F94D74">
      <w:r>
        <w:continuationSeparator/>
      </w:r>
    </w:p>
    <w:p w14:paraId="50F34A0D" w14:textId="77777777" w:rsidR="00EB64EC" w:rsidRDefault="00EB64EC" w:rsidP="00F94D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10002FF" w:usb1="4000ACFF" w:usb2="00000009" w:usb3="00000000" w:csb0="0000019F" w:csb1="00000000"/>
  </w:font>
  <w:font w:name="Batang">
    <w:altName w:val="바탕"/>
    <w:charset w:val="81"/>
    <w:family w:val="roman"/>
    <w:pitch w:val="variable"/>
    <w:sig w:usb0="B00002AF" w:usb1="69D77CFB" w:usb2="00000030" w:usb3="00000000" w:csb0="0008009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MS Mincho">
    <w:altName w:val="ＭＳ 明朝"/>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Oblique">
    <w:altName w:val="Arial"/>
    <w:panose1 w:val="00000000000000000000"/>
    <w:charset w:val="00"/>
    <w:family w:val="roman"/>
    <w:notTrueType/>
    <w:pitch w:val="default"/>
  </w:font>
  <w:font w:name="ＭＳ 明朝">
    <w:charset w:val="4E"/>
    <w:family w:val="auto"/>
    <w:pitch w:val="variable"/>
    <w:sig w:usb0="00000001" w:usb1="08070000" w:usb2="00000010" w:usb3="00000000" w:csb0="00020000" w:csb1="00000000"/>
  </w:font>
  <w:font w:name="SimSun">
    <w:altName w:val="宋体"/>
    <w:charset w:val="86"/>
    <w:family w:val="auto"/>
    <w:pitch w:val="variable"/>
    <w:sig w:usb0="00000003" w:usb1="288F0000" w:usb2="00000016" w:usb3="00000000" w:csb0="00040001" w:csb1="00000000"/>
  </w:font>
  <w:font w:name="ヒラギノ角ゴ Pro W3">
    <w:charset w:val="4E"/>
    <w:family w:val="auto"/>
    <w:pitch w:val="variable"/>
    <w:sig w:usb0="E00002FF" w:usb1="7AC7FFFF" w:usb2="00000012" w:usb3="00000000" w:csb0="0002000D" w:csb1="00000000"/>
  </w:font>
  <w:font w:name="TTE2C93658t00">
    <w:panose1 w:val="00000000000000000000"/>
    <w:charset w:val="00"/>
    <w:family w:val="auto"/>
    <w:notTrueType/>
    <w:pitch w:val="default"/>
    <w:sig w:usb0="00000003" w:usb1="00000000" w:usb2="00000000" w:usb3="00000000" w:csb0="00000001" w:csb1="00000000"/>
  </w:font>
  <w:font w:name="Vrinda">
    <w:panose1 w:val="00000000000000000000"/>
    <w:charset w:val="01"/>
    <w:family w:val="roman"/>
    <w:notTrueType/>
    <w:pitch w:val="variable"/>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MS ????">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564788169"/>
      <w:docPartObj>
        <w:docPartGallery w:val="Page Numbers (Bottom of Page)"/>
        <w:docPartUnique/>
      </w:docPartObj>
    </w:sdtPr>
    <w:sdtEndPr>
      <w:rPr>
        <w:noProof/>
      </w:rPr>
    </w:sdtEndPr>
    <w:sdtContent>
      <w:p w14:paraId="622493DB" w14:textId="77777777" w:rsidR="00997C54" w:rsidRPr="00520A12" w:rsidRDefault="00997C54" w:rsidP="00530549">
        <w:pPr>
          <w:pStyle w:val="Piedepgina"/>
          <w:spacing w:before="120"/>
          <w:jc w:val="center"/>
          <w:rPr>
            <w:sz w:val="18"/>
            <w:szCs w:val="18"/>
          </w:rPr>
        </w:pPr>
        <w:r w:rsidRPr="00520A12">
          <w:rPr>
            <w:sz w:val="18"/>
            <w:szCs w:val="18"/>
          </w:rPr>
          <w:fldChar w:fldCharType="begin"/>
        </w:r>
        <w:r w:rsidRPr="00520A12">
          <w:rPr>
            <w:sz w:val="18"/>
            <w:szCs w:val="18"/>
          </w:rPr>
          <w:instrText xml:space="preserve"> PAGE   \* MERGEFORMAT </w:instrText>
        </w:r>
        <w:r w:rsidRPr="00520A12">
          <w:rPr>
            <w:sz w:val="18"/>
            <w:szCs w:val="18"/>
          </w:rPr>
          <w:fldChar w:fldCharType="separate"/>
        </w:r>
        <w:r w:rsidR="00060FA6">
          <w:rPr>
            <w:noProof/>
            <w:sz w:val="18"/>
            <w:szCs w:val="18"/>
          </w:rPr>
          <w:t>19</w:t>
        </w:r>
        <w:r w:rsidRPr="00520A12">
          <w:rPr>
            <w:noProof/>
            <w:sz w:val="18"/>
            <w:szCs w:val="18"/>
          </w:rPr>
          <w:fldChar w:fldCharType="end"/>
        </w:r>
      </w:p>
    </w:sdtContent>
  </w:sdt>
  <w:p w14:paraId="3049177E" w14:textId="77777777" w:rsidR="00997C54" w:rsidRPr="00520A12" w:rsidRDefault="00997C54" w:rsidP="00530549">
    <w:pPr>
      <w:pStyle w:val="Piedepgina"/>
      <w:spacing w:before="120"/>
      <w:rPr>
        <w:sz w:val="18"/>
        <w:szCs w:val="18"/>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994301466"/>
      <w:docPartObj>
        <w:docPartGallery w:val="Page Numbers (Bottom of Page)"/>
        <w:docPartUnique/>
      </w:docPartObj>
    </w:sdtPr>
    <w:sdtEndPr>
      <w:rPr>
        <w:noProof/>
        <w:color w:val="FFFFFF" w:themeColor="background1"/>
      </w:rPr>
    </w:sdtEndPr>
    <w:sdtContent>
      <w:p w14:paraId="7311F0F6" w14:textId="77777777" w:rsidR="00997C54" w:rsidRPr="00454CF5" w:rsidRDefault="00997C54" w:rsidP="00562B60">
        <w:pPr>
          <w:pStyle w:val="Piedepgina"/>
          <w:spacing w:before="120"/>
          <w:jc w:val="center"/>
          <w:rPr>
            <w:color w:val="FFFFFF" w:themeColor="background1"/>
            <w:sz w:val="18"/>
            <w:szCs w:val="18"/>
          </w:rPr>
        </w:pPr>
        <w:r w:rsidRPr="00454CF5">
          <w:rPr>
            <w:color w:val="FFFFFF" w:themeColor="background1"/>
            <w:sz w:val="18"/>
            <w:szCs w:val="18"/>
          </w:rPr>
          <w:fldChar w:fldCharType="begin"/>
        </w:r>
        <w:r w:rsidRPr="00454CF5">
          <w:rPr>
            <w:color w:val="FFFFFF" w:themeColor="background1"/>
            <w:sz w:val="18"/>
            <w:szCs w:val="18"/>
          </w:rPr>
          <w:instrText xml:space="preserve"> PAGE   \* MERGEFORMAT </w:instrText>
        </w:r>
        <w:r w:rsidRPr="00454CF5">
          <w:rPr>
            <w:color w:val="FFFFFF" w:themeColor="background1"/>
            <w:sz w:val="18"/>
            <w:szCs w:val="18"/>
          </w:rPr>
          <w:fldChar w:fldCharType="separate"/>
        </w:r>
        <w:r w:rsidR="00060FA6">
          <w:rPr>
            <w:noProof/>
            <w:color w:val="FFFFFF" w:themeColor="background1"/>
            <w:sz w:val="18"/>
            <w:szCs w:val="18"/>
          </w:rPr>
          <w:t>1</w:t>
        </w:r>
        <w:r w:rsidRPr="00454CF5">
          <w:rPr>
            <w:noProof/>
            <w:color w:val="FFFFFF" w:themeColor="background1"/>
            <w:sz w:val="18"/>
            <w:szCs w:val="18"/>
          </w:rPr>
          <w:fldChar w:fldCharType="end"/>
        </w:r>
      </w:p>
    </w:sdtContent>
  </w:sdt>
  <w:p w14:paraId="1255FA17" w14:textId="77777777" w:rsidR="00997C54" w:rsidRPr="00562B60" w:rsidRDefault="00997C54" w:rsidP="00562B60">
    <w:pPr>
      <w:pStyle w:val="Piedepgina"/>
      <w:spacing w:before="120"/>
      <w:rPr>
        <w:sz w:val="18"/>
        <w:szCs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DE8579" w14:textId="77777777" w:rsidR="00EB64EC" w:rsidRDefault="00EB64EC" w:rsidP="00F94D74">
      <w:r>
        <w:separator/>
      </w:r>
    </w:p>
    <w:p w14:paraId="0CB3623B" w14:textId="77777777" w:rsidR="00EB64EC" w:rsidRDefault="00EB64EC" w:rsidP="00F94D74"/>
  </w:footnote>
  <w:footnote w:type="continuationSeparator" w:id="0">
    <w:p w14:paraId="292FA1A6" w14:textId="77777777" w:rsidR="00EB64EC" w:rsidRDefault="00EB64EC" w:rsidP="00F94D74">
      <w:r>
        <w:continuationSeparator/>
      </w:r>
    </w:p>
    <w:p w14:paraId="23591F78" w14:textId="77777777" w:rsidR="00EB64EC" w:rsidRDefault="00EB64EC" w:rsidP="00F94D74"/>
  </w:footnote>
  <w:footnote w:id="1">
    <w:p w14:paraId="089084A0" w14:textId="1BF682CA" w:rsidR="00997C54" w:rsidRPr="007A3BFF" w:rsidRDefault="00997C54" w:rsidP="003E34C2">
      <w:pPr>
        <w:pStyle w:val="Textonotapie"/>
        <w:rPr>
          <w:sz w:val="16"/>
          <w:szCs w:val="16"/>
        </w:rPr>
      </w:pPr>
      <w:r w:rsidRPr="007A3BFF">
        <w:rPr>
          <w:rStyle w:val="Refdenotaalpie"/>
          <w:sz w:val="16"/>
          <w:szCs w:val="16"/>
        </w:rPr>
        <w:t>*</w:t>
      </w:r>
      <w:r w:rsidRPr="007A3BFF">
        <w:rPr>
          <w:sz w:val="16"/>
          <w:szCs w:val="16"/>
        </w:rPr>
        <w:t xml:space="preserve"> </w:t>
      </w:r>
      <w:r w:rsidRPr="007A3BFF">
        <w:rPr>
          <w:sz w:val="16"/>
          <w:szCs w:val="16"/>
        </w:rPr>
        <w:tab/>
      </w:r>
      <w:r>
        <w:rPr>
          <w:sz w:val="16"/>
          <w:szCs w:val="16"/>
        </w:rPr>
        <w:t>El Juez Eduardo Ferrer Mac-</w:t>
      </w:r>
      <w:proofErr w:type="spellStart"/>
      <w:r>
        <w:rPr>
          <w:sz w:val="16"/>
          <w:szCs w:val="16"/>
        </w:rPr>
        <w:t>Gregor</w:t>
      </w:r>
      <w:proofErr w:type="spellEnd"/>
      <w:r>
        <w:rPr>
          <w:sz w:val="16"/>
          <w:szCs w:val="16"/>
        </w:rPr>
        <w:t xml:space="preserve"> </w:t>
      </w:r>
      <w:proofErr w:type="spellStart"/>
      <w:r>
        <w:rPr>
          <w:sz w:val="16"/>
          <w:szCs w:val="16"/>
        </w:rPr>
        <w:t>Poisot</w:t>
      </w:r>
      <w:proofErr w:type="spellEnd"/>
      <w:r>
        <w:rPr>
          <w:sz w:val="16"/>
          <w:szCs w:val="16"/>
        </w:rPr>
        <w:t xml:space="preserve">, </w:t>
      </w:r>
      <w:r w:rsidRPr="00100F11">
        <w:rPr>
          <w:sz w:val="16"/>
          <w:szCs w:val="16"/>
        </w:rPr>
        <w:t>por razones de fuerza mayor aceptadas por el Pleno del Tribunal, no participó en la deliberación y firma de la presente Sentencia</w:t>
      </w:r>
      <w:r>
        <w:rPr>
          <w:sz w:val="16"/>
          <w:szCs w:val="16"/>
        </w:rPr>
        <w:t>.</w:t>
      </w:r>
      <w:r w:rsidRPr="00100F11">
        <w:rPr>
          <w:sz w:val="16"/>
          <w:szCs w:val="16"/>
        </w:rPr>
        <w:t xml:space="preserve"> </w:t>
      </w:r>
      <w:r w:rsidRPr="007A3BFF">
        <w:rPr>
          <w:sz w:val="16"/>
          <w:szCs w:val="16"/>
        </w:rPr>
        <w:t>El Juez Eugenio Raúl Zaffaroni, de nacionalidad argentina, no participó en la tramitación del presente caso ni en la deliberación y firma de esta Sentencia, de conformidad con lo dispuesto en los artículos 19.1 y 19.2 del Reglamento de la Corte.</w:t>
      </w:r>
    </w:p>
  </w:footnote>
  <w:footnote w:id="2">
    <w:p w14:paraId="2B3CB529" w14:textId="543AD5CD" w:rsidR="00997C54" w:rsidRPr="007A3BFF" w:rsidRDefault="00997C54" w:rsidP="003E34C2">
      <w:pPr>
        <w:widowControl/>
        <w:autoSpaceDE w:val="0"/>
        <w:autoSpaceDN w:val="0"/>
        <w:spacing w:line="240" w:lineRule="auto"/>
        <w:textAlignment w:val="auto"/>
        <w:rPr>
          <w:rFonts w:eastAsiaTheme="minorHAnsi"/>
          <w:sz w:val="16"/>
          <w:szCs w:val="16"/>
          <w:lang w:eastAsia="en-US"/>
        </w:rPr>
      </w:pPr>
      <w:r w:rsidRPr="007A3BFF">
        <w:rPr>
          <w:rStyle w:val="Refdenotaalpie"/>
          <w:sz w:val="16"/>
          <w:szCs w:val="16"/>
        </w:rPr>
        <w:footnoteRef/>
      </w:r>
      <w:r w:rsidRPr="007A3BFF">
        <w:rPr>
          <w:sz w:val="16"/>
          <w:szCs w:val="16"/>
        </w:rPr>
        <w:t xml:space="preserve"> </w:t>
      </w:r>
      <w:r w:rsidRPr="007A3BFF">
        <w:rPr>
          <w:sz w:val="16"/>
          <w:szCs w:val="16"/>
        </w:rPr>
        <w:tab/>
        <w:t>La Comisión concluyó que el Estado de Argentina era responsable por “</w:t>
      </w:r>
      <w:r w:rsidRPr="007A3BFF">
        <w:rPr>
          <w:rFonts w:eastAsiaTheme="minorHAnsi"/>
          <w:sz w:val="16"/>
          <w:szCs w:val="16"/>
          <w:lang w:eastAsia="en-US"/>
        </w:rPr>
        <w:t>la violación de los derechos a la libertad personal y a las garantías judiciales, a la igualdad ante la ley y a la protección judicial consagrados en los artículos 7.1, 7.3, 7.5, 7.6, 8.1, 8.2, 24 y 25.1 de la Convención Americana, en relación con los artículos 1.1 y 2 del mismo instrumento, en perjuicio de Gabriel Oscar Jenkins, respecto de la detención preventiva a la que estuvo sujeto, el marco normativo aplicado, los recursos interpuestos para lograr su liberación y la demanda de daños y perjuicios</w:t>
      </w:r>
      <w:r w:rsidRPr="007A3BFF">
        <w:rPr>
          <w:sz w:val="16"/>
          <w:szCs w:val="16"/>
        </w:rPr>
        <w:t xml:space="preserve">”. </w:t>
      </w:r>
    </w:p>
  </w:footnote>
  <w:footnote w:id="3">
    <w:p w14:paraId="52FEA0DD" w14:textId="19720CDE" w:rsidR="00997C54" w:rsidRPr="007A3BFF" w:rsidRDefault="00997C54" w:rsidP="003E34C2">
      <w:pPr>
        <w:pStyle w:val="Textonotapie"/>
        <w:tabs>
          <w:tab w:val="left" w:pos="567"/>
        </w:tabs>
        <w:rPr>
          <w:sz w:val="16"/>
          <w:szCs w:val="16"/>
          <w:lang w:val="es-CR"/>
        </w:rPr>
      </w:pPr>
      <w:r w:rsidRPr="007A3BFF">
        <w:rPr>
          <w:rStyle w:val="Refdenotaalpie"/>
          <w:sz w:val="16"/>
          <w:szCs w:val="16"/>
        </w:rPr>
        <w:footnoteRef/>
      </w:r>
      <w:r w:rsidRPr="007A3BFF">
        <w:rPr>
          <w:sz w:val="16"/>
          <w:szCs w:val="16"/>
          <w:lang w:val="es-CR"/>
        </w:rPr>
        <w:t xml:space="preserve"> </w:t>
      </w:r>
      <w:r w:rsidRPr="007A3BFF">
        <w:rPr>
          <w:sz w:val="16"/>
          <w:szCs w:val="16"/>
          <w:lang w:val="es-CR"/>
        </w:rPr>
        <w:tab/>
        <w:t xml:space="preserve">La Comisión designó como sus delegados ante la Corte al Comisionado Francisco Eguiguren y al Secretario Ejecutivo Paulo </w:t>
      </w:r>
      <w:r w:rsidRPr="007A3BFF">
        <w:rPr>
          <w:sz w:val="16"/>
          <w:szCs w:val="16"/>
          <w:lang w:val="es-CR"/>
        </w:rPr>
        <w:t>Abrão. Asimismo, designó como asesoras legales a la señora Elizabeth Abi-Mershed, entonces Secretaria Ejecutiva Adjunta, así como a la abogada y abogado a la señora Silvia Serrano Guz</w:t>
      </w:r>
      <w:r>
        <w:rPr>
          <w:sz w:val="16"/>
          <w:szCs w:val="16"/>
          <w:lang w:val="es-CR"/>
        </w:rPr>
        <w:t>mán y Christian González Chacón.</w:t>
      </w:r>
    </w:p>
  </w:footnote>
  <w:footnote w:id="4">
    <w:p w14:paraId="0E3B0FEA" w14:textId="3839E76F" w:rsidR="00997C54" w:rsidRPr="00831B76" w:rsidRDefault="00997C54" w:rsidP="00831B76">
      <w:pPr>
        <w:pStyle w:val="Textonotapie"/>
        <w:tabs>
          <w:tab w:val="left" w:pos="567"/>
        </w:tabs>
        <w:rPr>
          <w:sz w:val="16"/>
          <w:szCs w:val="16"/>
          <w:lang w:val="es-CR"/>
        </w:rPr>
      </w:pPr>
      <w:r w:rsidRPr="00831B76">
        <w:rPr>
          <w:rStyle w:val="Refdenotaalpie"/>
          <w:sz w:val="16"/>
          <w:szCs w:val="16"/>
        </w:rPr>
        <w:footnoteRef/>
      </w:r>
      <w:r w:rsidRPr="00831B76">
        <w:rPr>
          <w:sz w:val="16"/>
          <w:szCs w:val="16"/>
        </w:rPr>
        <w:t xml:space="preserve"> </w:t>
      </w:r>
      <w:r w:rsidRPr="00831B76">
        <w:rPr>
          <w:sz w:val="16"/>
          <w:szCs w:val="16"/>
        </w:rPr>
        <w:tab/>
      </w:r>
      <w:r w:rsidRPr="00100F11">
        <w:rPr>
          <w:rStyle w:val="Textoennegrita"/>
          <w:b w:val="0"/>
          <w:i/>
          <w:sz w:val="16"/>
          <w:szCs w:val="16"/>
        </w:rPr>
        <w:t xml:space="preserve">Cfr. Caso </w:t>
      </w:r>
      <w:proofErr w:type="spellStart"/>
      <w:r w:rsidRPr="00100F11">
        <w:rPr>
          <w:rStyle w:val="Textoennegrita"/>
          <w:b w:val="0"/>
          <w:i/>
          <w:sz w:val="16"/>
          <w:szCs w:val="16"/>
        </w:rPr>
        <w:t>Cayara</w:t>
      </w:r>
      <w:proofErr w:type="spellEnd"/>
      <w:r w:rsidRPr="00100F11">
        <w:rPr>
          <w:rStyle w:val="Textoennegrita"/>
          <w:b w:val="0"/>
          <w:i/>
          <w:sz w:val="16"/>
          <w:szCs w:val="16"/>
        </w:rPr>
        <w:t xml:space="preserve"> Vs. Perú. Excepciones Preliminares. Sentencia de 3 de febrero de 1993.</w:t>
      </w:r>
      <w:r w:rsidRPr="00100F11">
        <w:rPr>
          <w:rStyle w:val="Textoennegrita"/>
          <w:b w:val="0"/>
          <w:sz w:val="16"/>
          <w:szCs w:val="16"/>
        </w:rPr>
        <w:t xml:space="preserve"> Serie C No. 14, párr. 42, y </w:t>
      </w:r>
      <w:r w:rsidRPr="00100F11">
        <w:rPr>
          <w:rStyle w:val="Textoennegrita"/>
          <w:b w:val="0"/>
          <w:i/>
          <w:sz w:val="16"/>
          <w:szCs w:val="16"/>
        </w:rPr>
        <w:t xml:space="preserve">Caso </w:t>
      </w:r>
      <w:proofErr w:type="spellStart"/>
      <w:r w:rsidRPr="00100F11">
        <w:rPr>
          <w:rStyle w:val="Textoennegrita"/>
          <w:b w:val="0"/>
          <w:i/>
          <w:sz w:val="16"/>
          <w:szCs w:val="16"/>
        </w:rPr>
        <w:t>Mémoli</w:t>
      </w:r>
      <w:proofErr w:type="spellEnd"/>
      <w:r w:rsidRPr="00100F11">
        <w:rPr>
          <w:rStyle w:val="Textoennegrita"/>
          <w:b w:val="0"/>
          <w:i/>
          <w:sz w:val="16"/>
          <w:szCs w:val="16"/>
        </w:rPr>
        <w:t xml:space="preserve"> Vs. Argentina. Excepciones Preliminares, Fondo, Reparaciones y Costas</w:t>
      </w:r>
      <w:r w:rsidRPr="00100F11">
        <w:rPr>
          <w:rStyle w:val="Textoennegrita"/>
          <w:b w:val="0"/>
          <w:sz w:val="16"/>
          <w:szCs w:val="16"/>
        </w:rPr>
        <w:t>. Sentencia de 22 de agosto de 2013. Serie C No. 265, párr. 41.</w:t>
      </w:r>
    </w:p>
  </w:footnote>
  <w:footnote w:id="5">
    <w:p w14:paraId="0D6E1641" w14:textId="77777777" w:rsidR="00997C54" w:rsidRPr="007A3BFF" w:rsidRDefault="00997C54" w:rsidP="003E34C2">
      <w:pPr>
        <w:pStyle w:val="Textonotapie"/>
        <w:tabs>
          <w:tab w:val="left" w:pos="567"/>
        </w:tabs>
        <w:rPr>
          <w:rStyle w:val="Textoennegrita"/>
          <w:b w:val="0"/>
          <w:sz w:val="16"/>
          <w:szCs w:val="16"/>
        </w:rPr>
      </w:pPr>
      <w:r w:rsidRPr="007A3BFF">
        <w:rPr>
          <w:rStyle w:val="Refdenotaalpie"/>
          <w:sz w:val="16"/>
          <w:szCs w:val="16"/>
        </w:rPr>
        <w:footnoteRef/>
      </w:r>
      <w:r w:rsidRPr="007A3BFF">
        <w:rPr>
          <w:sz w:val="16"/>
          <w:szCs w:val="16"/>
        </w:rPr>
        <w:t xml:space="preserve"> </w:t>
      </w:r>
      <w:r w:rsidRPr="007A3BFF">
        <w:rPr>
          <w:sz w:val="16"/>
          <w:szCs w:val="16"/>
        </w:rPr>
        <w:tab/>
      </w:r>
      <w:r w:rsidRPr="007A3BFF">
        <w:rPr>
          <w:i/>
          <w:sz w:val="16"/>
          <w:szCs w:val="16"/>
        </w:rPr>
        <w:t xml:space="preserve">Cfr. </w:t>
      </w:r>
      <w:r w:rsidRPr="007A3BFF">
        <w:rPr>
          <w:rStyle w:val="Textoennegrita"/>
          <w:b w:val="0"/>
          <w:i/>
          <w:sz w:val="16"/>
          <w:szCs w:val="16"/>
        </w:rPr>
        <w:t>Caso Jenkins Vs. Argentina. Convocatoria a audiencia</w:t>
      </w:r>
      <w:r w:rsidRPr="007A3BFF">
        <w:rPr>
          <w:rStyle w:val="Textoennegrita"/>
          <w:b w:val="0"/>
          <w:sz w:val="16"/>
          <w:szCs w:val="16"/>
        </w:rPr>
        <w:t xml:space="preserve">. </w:t>
      </w:r>
      <w:r w:rsidRPr="007A3BFF">
        <w:rPr>
          <w:rStyle w:val="Textoennegrita"/>
          <w:b w:val="0"/>
          <w:sz w:val="16"/>
          <w:szCs w:val="16"/>
        </w:rPr>
        <w:t xml:space="preserve">Resolución del Presidente de la Corte Interamericana de Derechos Humanos de 19 de diciembre de 2018. Disponible en: </w:t>
      </w:r>
    </w:p>
    <w:p w14:paraId="53587887" w14:textId="77777777" w:rsidR="00997C54" w:rsidRPr="007A3BFF" w:rsidRDefault="00060FA6" w:rsidP="003E34C2">
      <w:pPr>
        <w:pStyle w:val="Textonotapie"/>
        <w:rPr>
          <w:sz w:val="16"/>
          <w:szCs w:val="16"/>
          <w:lang w:val="es-CR"/>
        </w:rPr>
      </w:pPr>
      <w:hyperlink r:id="rId1" w:history="1">
        <w:r w:rsidR="00997C54" w:rsidRPr="007A3BFF">
          <w:rPr>
            <w:rStyle w:val="Hipervnculo"/>
            <w:sz w:val="16"/>
            <w:szCs w:val="16"/>
          </w:rPr>
          <w:t>http://www.corteidh.or.cr/docs/asuntos/jenkins_19_12_18.pdf</w:t>
        </w:r>
      </w:hyperlink>
      <w:r w:rsidR="00997C54" w:rsidRPr="007A3BFF">
        <w:rPr>
          <w:rStyle w:val="Textoennegrita"/>
          <w:b w:val="0"/>
          <w:sz w:val="16"/>
          <w:szCs w:val="16"/>
        </w:rPr>
        <w:t xml:space="preserve"> </w:t>
      </w:r>
    </w:p>
  </w:footnote>
  <w:footnote w:id="6">
    <w:p w14:paraId="0414C6BC" w14:textId="77777777" w:rsidR="00997C54" w:rsidRPr="007A3BFF" w:rsidRDefault="00997C54" w:rsidP="00997C54">
      <w:pPr>
        <w:pStyle w:val="Textonotapie"/>
        <w:tabs>
          <w:tab w:val="left" w:pos="567"/>
        </w:tabs>
        <w:rPr>
          <w:sz w:val="16"/>
          <w:szCs w:val="16"/>
          <w:lang w:val="es-CR"/>
        </w:rPr>
      </w:pPr>
      <w:r w:rsidRPr="007A3BFF">
        <w:rPr>
          <w:rStyle w:val="Refdenotaalpie"/>
          <w:sz w:val="16"/>
          <w:szCs w:val="16"/>
        </w:rPr>
        <w:footnoteRef/>
      </w:r>
      <w:r w:rsidRPr="007A3BFF">
        <w:rPr>
          <w:sz w:val="16"/>
          <w:szCs w:val="16"/>
          <w:lang w:val="es-CR"/>
        </w:rPr>
        <w:t xml:space="preserve"> </w:t>
      </w:r>
      <w:r w:rsidRPr="007A3BFF">
        <w:rPr>
          <w:sz w:val="16"/>
          <w:szCs w:val="16"/>
          <w:lang w:val="es-CR"/>
        </w:rPr>
        <w:tab/>
        <w:t xml:space="preserve">A esta audiencia comparecieron: </w:t>
      </w:r>
    </w:p>
    <w:p w14:paraId="2C18DF28" w14:textId="77777777" w:rsidR="00997C54" w:rsidRPr="007A3BFF" w:rsidRDefault="00997C54" w:rsidP="00997C54">
      <w:pPr>
        <w:pStyle w:val="Textonotapie"/>
        <w:tabs>
          <w:tab w:val="left" w:pos="567"/>
          <w:tab w:val="left" w:pos="810"/>
        </w:tabs>
        <w:spacing w:before="60" w:after="60"/>
        <w:ind w:left="90" w:right="86"/>
        <w:rPr>
          <w:sz w:val="16"/>
          <w:szCs w:val="16"/>
          <w:lang w:val="es-CR"/>
        </w:rPr>
      </w:pPr>
      <w:r w:rsidRPr="007A3BFF">
        <w:rPr>
          <w:sz w:val="16"/>
          <w:szCs w:val="16"/>
          <w:lang w:val="es-CR"/>
        </w:rPr>
        <w:t xml:space="preserve">a) Por la Comisión Interamericana: el Comisionado Francisco Eguiguren </w:t>
      </w:r>
      <w:r w:rsidRPr="007A3BFF">
        <w:rPr>
          <w:sz w:val="16"/>
          <w:szCs w:val="16"/>
          <w:lang w:val="es-CR"/>
        </w:rPr>
        <w:t>Praeli y la Asesora Silvia Serrano Guzmán;</w:t>
      </w:r>
    </w:p>
    <w:p w14:paraId="5135D899" w14:textId="34782781" w:rsidR="00997C54" w:rsidRPr="007A3BFF" w:rsidRDefault="00997C54" w:rsidP="00997C54">
      <w:pPr>
        <w:pStyle w:val="Textonotapie"/>
        <w:tabs>
          <w:tab w:val="left" w:pos="567"/>
          <w:tab w:val="left" w:pos="810"/>
        </w:tabs>
        <w:spacing w:before="60" w:after="60"/>
        <w:ind w:left="90" w:right="86"/>
        <w:rPr>
          <w:sz w:val="16"/>
          <w:szCs w:val="16"/>
          <w:lang w:val="es-CR"/>
        </w:rPr>
      </w:pPr>
      <w:r w:rsidRPr="007A3BFF">
        <w:rPr>
          <w:sz w:val="16"/>
          <w:szCs w:val="16"/>
          <w:lang w:val="es-CR"/>
        </w:rPr>
        <w:t>b) P</w:t>
      </w:r>
      <w:r>
        <w:rPr>
          <w:sz w:val="16"/>
          <w:szCs w:val="16"/>
          <w:lang w:val="es-CR"/>
        </w:rPr>
        <w:t>or los representantes de la pres</w:t>
      </w:r>
      <w:r w:rsidRPr="007A3BFF">
        <w:rPr>
          <w:sz w:val="16"/>
          <w:szCs w:val="16"/>
          <w:lang w:val="es-CR"/>
        </w:rPr>
        <w:t>unta víctima: el señor Octavio Tito Sufán Farías</w:t>
      </w:r>
      <w:r>
        <w:rPr>
          <w:sz w:val="16"/>
          <w:szCs w:val="16"/>
          <w:lang w:val="es-CR"/>
        </w:rPr>
        <w:t xml:space="preserve"> y la señora Nilda López Britez;</w:t>
      </w:r>
    </w:p>
    <w:p w14:paraId="72C69F82" w14:textId="5E5BA01C" w:rsidR="00997C54" w:rsidRPr="007A3BFF" w:rsidRDefault="00997C54" w:rsidP="00997C54">
      <w:pPr>
        <w:pStyle w:val="Textonotapie"/>
        <w:tabs>
          <w:tab w:val="left" w:pos="567"/>
          <w:tab w:val="left" w:pos="810"/>
        </w:tabs>
        <w:spacing w:before="60" w:after="60"/>
        <w:ind w:left="90" w:right="86"/>
        <w:rPr>
          <w:strike/>
          <w:sz w:val="16"/>
          <w:szCs w:val="16"/>
          <w:lang w:val="es-CR"/>
        </w:rPr>
      </w:pPr>
      <w:r w:rsidRPr="007A3BFF">
        <w:rPr>
          <w:sz w:val="16"/>
          <w:szCs w:val="16"/>
          <w:lang w:val="es-CR"/>
        </w:rPr>
        <w:t>c) Por el Estado de Argentina: el señor Alberto Javier Salgado, Director de Contencioso Internacional en Materia de Derechos Humanos del Ministerio de Relaciones y Culto; el señor Siro de Martini, Asesor del Ministerio de Justicia y Derechos Humanos, y el señor Alfredo Vitolo, Asesor de la Secretaría de Derechos Humanos y Pluralismo Cultural.</w:t>
      </w:r>
    </w:p>
  </w:footnote>
  <w:footnote w:id="7">
    <w:p w14:paraId="592CFF22" w14:textId="3862F2E9" w:rsidR="00997C54" w:rsidRPr="007A3BFF" w:rsidRDefault="00997C54" w:rsidP="002839D7">
      <w:pPr>
        <w:pStyle w:val="Textonotapie"/>
        <w:rPr>
          <w:sz w:val="16"/>
          <w:szCs w:val="16"/>
        </w:rPr>
      </w:pPr>
      <w:r w:rsidRPr="007A3BFF">
        <w:rPr>
          <w:rStyle w:val="Refdenotaalpie"/>
          <w:sz w:val="16"/>
          <w:szCs w:val="16"/>
        </w:rPr>
        <w:footnoteRef/>
      </w:r>
      <w:r w:rsidRPr="007A3BFF">
        <w:rPr>
          <w:sz w:val="16"/>
          <w:szCs w:val="16"/>
        </w:rPr>
        <w:t xml:space="preserve"> </w:t>
      </w:r>
      <w:r w:rsidRPr="007A3BFF">
        <w:rPr>
          <w:sz w:val="16"/>
          <w:szCs w:val="16"/>
        </w:rPr>
        <w:tab/>
      </w:r>
      <w:r w:rsidRPr="007A3BFF">
        <w:rPr>
          <w:sz w:val="16"/>
          <w:szCs w:val="16"/>
        </w:rPr>
        <w:t>Tal y como lo indicó el Presidente de la Corte en la Audiencia Pública del presente caso celebrada el 1 de febrero de 2019, el plazo improrrogable para las partes y la Comisión para que presentaran los alegatos finales escritos así como las observaciones finales vencía el 1 de marzo de 2019. El escrito de los representantes fue remitido el día 2 de marzo de 2019, a las 06:51</w:t>
      </w:r>
      <w:r>
        <w:rPr>
          <w:sz w:val="16"/>
          <w:szCs w:val="16"/>
        </w:rPr>
        <w:t>,</w:t>
      </w:r>
      <w:r w:rsidRPr="007A3BFF">
        <w:rPr>
          <w:sz w:val="16"/>
          <w:szCs w:val="16"/>
        </w:rPr>
        <w:t xml:space="preserve"> hora de Costa Rica. </w:t>
      </w:r>
    </w:p>
  </w:footnote>
  <w:footnote w:id="8">
    <w:p w14:paraId="48E224F4" w14:textId="778FD79F" w:rsidR="00997C54" w:rsidRPr="007A3BFF" w:rsidRDefault="00997C54" w:rsidP="003E34C2">
      <w:pPr>
        <w:pStyle w:val="Textonotapie"/>
        <w:rPr>
          <w:sz w:val="16"/>
          <w:szCs w:val="16"/>
        </w:rPr>
      </w:pPr>
      <w:r w:rsidRPr="007A3BFF">
        <w:rPr>
          <w:rStyle w:val="Refdenotaalpie"/>
          <w:sz w:val="16"/>
          <w:szCs w:val="16"/>
        </w:rPr>
        <w:footnoteRef/>
      </w:r>
      <w:r w:rsidRPr="007A3BFF">
        <w:rPr>
          <w:sz w:val="16"/>
          <w:szCs w:val="16"/>
        </w:rPr>
        <w:t xml:space="preserve"> </w:t>
      </w:r>
      <w:r w:rsidRPr="007A3BFF">
        <w:rPr>
          <w:sz w:val="16"/>
          <w:szCs w:val="16"/>
        </w:rPr>
        <w:tab/>
      </w:r>
      <w:r w:rsidRPr="007A3BFF">
        <w:rPr>
          <w:rFonts w:cs="Arial"/>
          <w:i/>
          <w:sz w:val="16"/>
          <w:szCs w:val="16"/>
        </w:rPr>
        <w:t>Cfr. Caso Velásquez Rodríguez Vs. Honduras. Excepciones Preliminares</w:t>
      </w:r>
      <w:r w:rsidRPr="007A3BFF">
        <w:rPr>
          <w:rFonts w:cs="Arial"/>
          <w:sz w:val="16"/>
          <w:szCs w:val="16"/>
        </w:rPr>
        <w:t>. Sentencia de 26 de junio de 1987. Serie C No. 1, párr. 85, y</w:t>
      </w:r>
      <w:r w:rsidRPr="007A3BFF">
        <w:rPr>
          <w:sz w:val="16"/>
          <w:szCs w:val="16"/>
        </w:rPr>
        <w:t xml:space="preserve"> </w:t>
      </w:r>
      <w:r w:rsidRPr="007A3BFF">
        <w:rPr>
          <w:rFonts w:cs="Arial"/>
          <w:i/>
          <w:sz w:val="16"/>
          <w:szCs w:val="16"/>
        </w:rPr>
        <w:t>Caso Muelle Flores Vs. Perú. Excepciones Preliminares, Fondo, Reparaciones y Costas</w:t>
      </w:r>
      <w:r w:rsidRPr="007A3BFF">
        <w:rPr>
          <w:rFonts w:cs="Arial"/>
          <w:sz w:val="16"/>
          <w:szCs w:val="16"/>
        </w:rPr>
        <w:t>. Sentencia de 6 de marzo de 2019. Serie C No. 375, párr. 25.</w:t>
      </w:r>
    </w:p>
  </w:footnote>
  <w:footnote w:id="9">
    <w:p w14:paraId="26B07FAE" w14:textId="2C3C3CC6" w:rsidR="00997C54" w:rsidRPr="007A3BFF" w:rsidRDefault="00997C54" w:rsidP="003E34C2">
      <w:pPr>
        <w:pStyle w:val="Textonotapie"/>
        <w:rPr>
          <w:b/>
          <w:sz w:val="16"/>
          <w:szCs w:val="16"/>
          <w:lang w:val="es-CR"/>
        </w:rPr>
      </w:pPr>
      <w:r w:rsidRPr="007A3BFF">
        <w:rPr>
          <w:rStyle w:val="Refdenotaalpie"/>
          <w:sz w:val="16"/>
          <w:szCs w:val="16"/>
        </w:rPr>
        <w:footnoteRef/>
      </w:r>
      <w:r w:rsidRPr="007A3BFF">
        <w:rPr>
          <w:sz w:val="16"/>
          <w:szCs w:val="16"/>
        </w:rPr>
        <w:t xml:space="preserve"> </w:t>
      </w:r>
      <w:r w:rsidRPr="007A3BFF">
        <w:rPr>
          <w:sz w:val="16"/>
          <w:szCs w:val="16"/>
        </w:rPr>
        <w:tab/>
      </w:r>
      <w:r w:rsidRPr="007A3BFF">
        <w:rPr>
          <w:rFonts w:cs="Arial"/>
          <w:i/>
          <w:sz w:val="16"/>
          <w:szCs w:val="16"/>
        </w:rPr>
        <w:t>Cfr. Caso Velásquez Rodríguez Vs. Honduras</w:t>
      </w:r>
      <w:r>
        <w:rPr>
          <w:rFonts w:cs="Arial"/>
          <w:i/>
          <w:sz w:val="16"/>
          <w:szCs w:val="16"/>
        </w:rPr>
        <w:t>, supra</w:t>
      </w:r>
      <w:r w:rsidRPr="007A3BFF">
        <w:rPr>
          <w:rFonts w:cs="Arial"/>
          <w:sz w:val="16"/>
          <w:szCs w:val="16"/>
        </w:rPr>
        <w:t xml:space="preserve">, </w:t>
      </w:r>
      <w:proofErr w:type="spellStart"/>
      <w:r w:rsidRPr="007A3BFF">
        <w:rPr>
          <w:rFonts w:cs="Arial"/>
          <w:sz w:val="16"/>
          <w:szCs w:val="16"/>
        </w:rPr>
        <w:t>párrs</w:t>
      </w:r>
      <w:proofErr w:type="spellEnd"/>
      <w:r w:rsidRPr="007A3BFF">
        <w:rPr>
          <w:rFonts w:cs="Arial"/>
          <w:sz w:val="16"/>
          <w:szCs w:val="16"/>
        </w:rPr>
        <w:t xml:space="preserve">. 88 y 91, y </w:t>
      </w:r>
      <w:r w:rsidRPr="007A3BFF">
        <w:rPr>
          <w:rStyle w:val="Textoennegrita"/>
          <w:b w:val="0"/>
          <w:i/>
          <w:sz w:val="16"/>
          <w:szCs w:val="16"/>
        </w:rPr>
        <w:t>Caso Muelle Flores Vs. Perú</w:t>
      </w:r>
      <w:r>
        <w:rPr>
          <w:rStyle w:val="Textoennegrita"/>
          <w:b w:val="0"/>
          <w:i/>
          <w:sz w:val="16"/>
          <w:szCs w:val="16"/>
        </w:rPr>
        <w:t>, supra</w:t>
      </w:r>
      <w:r w:rsidRPr="007A3BFF">
        <w:rPr>
          <w:rStyle w:val="Textoennegrita"/>
          <w:b w:val="0"/>
          <w:sz w:val="16"/>
          <w:szCs w:val="16"/>
        </w:rPr>
        <w:t>, párr. 26.</w:t>
      </w:r>
    </w:p>
  </w:footnote>
  <w:footnote w:id="10">
    <w:p w14:paraId="2CF448B3" w14:textId="77777777" w:rsidR="00997C54" w:rsidRPr="007A3BFF" w:rsidRDefault="00997C54" w:rsidP="003E34C2">
      <w:pPr>
        <w:pStyle w:val="Textonotapie"/>
        <w:rPr>
          <w:sz w:val="16"/>
          <w:szCs w:val="16"/>
        </w:rPr>
      </w:pPr>
      <w:r w:rsidRPr="007A3BFF">
        <w:rPr>
          <w:rStyle w:val="Refdenotaalpie"/>
          <w:sz w:val="16"/>
          <w:szCs w:val="16"/>
        </w:rPr>
        <w:footnoteRef/>
      </w:r>
      <w:r w:rsidRPr="007A3BFF">
        <w:rPr>
          <w:sz w:val="16"/>
          <w:szCs w:val="16"/>
        </w:rPr>
        <w:t xml:space="preserve"> </w:t>
      </w:r>
      <w:r w:rsidRPr="007A3BFF">
        <w:rPr>
          <w:sz w:val="16"/>
          <w:szCs w:val="16"/>
        </w:rPr>
        <w:tab/>
      </w:r>
      <w:r w:rsidRPr="007A3BFF">
        <w:rPr>
          <w:i/>
          <w:sz w:val="16"/>
          <w:szCs w:val="16"/>
        </w:rPr>
        <w:t>Cfr</w:t>
      </w:r>
      <w:r w:rsidRPr="007A3BFF">
        <w:rPr>
          <w:sz w:val="16"/>
          <w:szCs w:val="16"/>
        </w:rPr>
        <w:t>. Informe de Admisibilidad no. 50/04, petición 12.056, de 13 de octubre de 2004 (expediente de prueba, folio 60).</w:t>
      </w:r>
    </w:p>
  </w:footnote>
  <w:footnote w:id="11">
    <w:p w14:paraId="3295CF3F" w14:textId="77777777" w:rsidR="00997C54" w:rsidRPr="007A3BFF" w:rsidRDefault="00997C54" w:rsidP="003E34C2">
      <w:pPr>
        <w:pStyle w:val="Textonotapie"/>
        <w:rPr>
          <w:sz w:val="16"/>
          <w:szCs w:val="16"/>
          <w:lang w:val="es-ES"/>
        </w:rPr>
      </w:pPr>
      <w:r w:rsidRPr="007A3BFF">
        <w:rPr>
          <w:rStyle w:val="Refdenotaalpie"/>
          <w:sz w:val="16"/>
          <w:szCs w:val="16"/>
        </w:rPr>
        <w:footnoteRef/>
      </w:r>
      <w:r w:rsidRPr="007A3BFF">
        <w:rPr>
          <w:rFonts w:cs="Arial"/>
          <w:sz w:val="16"/>
          <w:szCs w:val="16"/>
          <w:lang w:val="en-US"/>
        </w:rPr>
        <w:t xml:space="preserve"> </w:t>
      </w:r>
      <w:r w:rsidRPr="007A3BFF">
        <w:rPr>
          <w:rFonts w:cs="Arial"/>
          <w:sz w:val="16"/>
          <w:szCs w:val="16"/>
          <w:lang w:val="en-US"/>
        </w:rPr>
        <w:tab/>
      </w:r>
      <w:proofErr w:type="spellStart"/>
      <w:r w:rsidRPr="007A3BFF">
        <w:rPr>
          <w:rFonts w:cs="Arial"/>
          <w:i/>
          <w:sz w:val="16"/>
          <w:szCs w:val="16"/>
          <w:lang w:val="en-US"/>
        </w:rPr>
        <w:t>Cfr</w:t>
      </w:r>
      <w:proofErr w:type="spellEnd"/>
      <w:r w:rsidRPr="007A3BFF">
        <w:rPr>
          <w:rFonts w:cs="Arial"/>
          <w:i/>
          <w:sz w:val="16"/>
          <w:szCs w:val="16"/>
          <w:lang w:val="en-US"/>
        </w:rPr>
        <w:t xml:space="preserve">. Caso Wong Ho Wing Vs. </w:t>
      </w:r>
      <w:r w:rsidRPr="007A3BFF">
        <w:rPr>
          <w:rFonts w:cs="Arial"/>
          <w:i/>
          <w:sz w:val="16"/>
          <w:szCs w:val="16"/>
        </w:rPr>
        <w:t>Perú. Excepción Preliminar, Fondo, Reparaciones y Costas</w:t>
      </w:r>
      <w:r w:rsidRPr="007A3BFF">
        <w:rPr>
          <w:rFonts w:cs="Arial"/>
          <w:sz w:val="16"/>
          <w:szCs w:val="16"/>
        </w:rPr>
        <w:t xml:space="preserve">. Sentencia de 30 de junio de 2015. Serie C No. 297, párr. 25 y </w:t>
      </w:r>
      <w:r w:rsidRPr="007A3BFF">
        <w:rPr>
          <w:rStyle w:val="Textoennegrita"/>
          <w:b w:val="0"/>
          <w:i/>
          <w:sz w:val="16"/>
          <w:szCs w:val="16"/>
        </w:rPr>
        <w:t>Caso Duque Vs. Colombia. Excepciones Preliminares, Fondo, Reparaciones y Costas</w:t>
      </w:r>
      <w:r w:rsidRPr="007A3BFF">
        <w:rPr>
          <w:rStyle w:val="Textoennegrita"/>
          <w:b w:val="0"/>
          <w:sz w:val="16"/>
          <w:szCs w:val="16"/>
        </w:rPr>
        <w:t xml:space="preserve">. Sentencia de 26 de febrero de 2016. </w:t>
      </w:r>
      <w:r w:rsidRPr="007A3BFF">
        <w:rPr>
          <w:rStyle w:val="Textoennegrita"/>
          <w:b w:val="0"/>
          <w:sz w:val="16"/>
          <w:szCs w:val="16"/>
          <w:lang w:val="es-ES"/>
        </w:rPr>
        <w:t>Serie C No. 310, párr. 34.</w:t>
      </w:r>
    </w:p>
  </w:footnote>
  <w:footnote w:id="12">
    <w:p w14:paraId="383C8405" w14:textId="24209611" w:rsidR="00997C54" w:rsidRPr="007A3BFF" w:rsidRDefault="00997C54" w:rsidP="003E34C2">
      <w:pPr>
        <w:pStyle w:val="Textonotapie"/>
        <w:rPr>
          <w:b/>
          <w:sz w:val="16"/>
          <w:szCs w:val="16"/>
        </w:rPr>
      </w:pPr>
      <w:r w:rsidRPr="007A3BFF">
        <w:rPr>
          <w:rStyle w:val="Refdenotaalpie"/>
          <w:sz w:val="16"/>
          <w:szCs w:val="16"/>
        </w:rPr>
        <w:footnoteRef/>
      </w:r>
      <w:r w:rsidRPr="007A3BFF">
        <w:rPr>
          <w:sz w:val="16"/>
          <w:szCs w:val="16"/>
        </w:rPr>
        <w:t xml:space="preserve"> </w:t>
      </w:r>
      <w:r w:rsidRPr="007A3BFF">
        <w:rPr>
          <w:sz w:val="16"/>
          <w:szCs w:val="16"/>
        </w:rPr>
        <w:tab/>
      </w:r>
      <w:r w:rsidRPr="007A3BFF">
        <w:rPr>
          <w:rFonts w:cs="Arial"/>
          <w:i/>
          <w:sz w:val="16"/>
          <w:szCs w:val="16"/>
        </w:rPr>
        <w:t>Cfr. Caso Velásquez Rodríguez Vs. Honduras</w:t>
      </w:r>
      <w:r>
        <w:rPr>
          <w:rFonts w:cs="Arial"/>
          <w:i/>
          <w:sz w:val="16"/>
          <w:szCs w:val="16"/>
        </w:rPr>
        <w:t>, supra</w:t>
      </w:r>
      <w:r w:rsidRPr="007A3BFF">
        <w:rPr>
          <w:rFonts w:cs="Arial"/>
          <w:sz w:val="16"/>
          <w:szCs w:val="16"/>
        </w:rPr>
        <w:t xml:space="preserve">, párr. 96, y </w:t>
      </w:r>
      <w:r w:rsidRPr="007A3BFF">
        <w:rPr>
          <w:rStyle w:val="Textoennegrita"/>
          <w:b w:val="0"/>
          <w:i/>
          <w:sz w:val="16"/>
          <w:szCs w:val="16"/>
        </w:rPr>
        <w:t>Caso Gutiérrez Hernández y otros Vs. Guatemala. Excepciones Preliminares, Fondo, Reparaciones y Costas.</w:t>
      </w:r>
      <w:r w:rsidRPr="007A3BFF">
        <w:rPr>
          <w:rStyle w:val="Textoennegrita"/>
          <w:b w:val="0"/>
          <w:sz w:val="16"/>
          <w:szCs w:val="16"/>
        </w:rPr>
        <w:t xml:space="preserve"> Sentencia de 24 de agosto de 2017. Serie C No. 339, párr. 24.</w:t>
      </w:r>
    </w:p>
  </w:footnote>
  <w:footnote w:id="13">
    <w:p w14:paraId="04A18F62" w14:textId="77777777" w:rsidR="00997C54" w:rsidRPr="007A3BFF" w:rsidRDefault="00997C54" w:rsidP="003E34C2">
      <w:pPr>
        <w:pStyle w:val="Textonotapie"/>
        <w:rPr>
          <w:sz w:val="16"/>
          <w:szCs w:val="16"/>
        </w:rPr>
      </w:pPr>
      <w:r w:rsidRPr="007A3BFF">
        <w:rPr>
          <w:rStyle w:val="Refdenotaalpie"/>
          <w:sz w:val="16"/>
          <w:szCs w:val="16"/>
        </w:rPr>
        <w:footnoteRef/>
      </w:r>
      <w:r w:rsidRPr="007A3BFF">
        <w:rPr>
          <w:sz w:val="16"/>
          <w:szCs w:val="16"/>
        </w:rPr>
        <w:t xml:space="preserve"> </w:t>
      </w:r>
      <w:r w:rsidRPr="007A3BFF">
        <w:rPr>
          <w:sz w:val="16"/>
          <w:szCs w:val="16"/>
        </w:rPr>
        <w:tab/>
      </w:r>
      <w:r w:rsidRPr="007A3BFF">
        <w:rPr>
          <w:i/>
          <w:sz w:val="16"/>
          <w:szCs w:val="16"/>
        </w:rPr>
        <w:t>Cfr</w:t>
      </w:r>
      <w:r w:rsidRPr="007A3BFF">
        <w:rPr>
          <w:sz w:val="16"/>
          <w:szCs w:val="16"/>
        </w:rPr>
        <w:t>. Informe de Admisibilidad no. 50/04, petición 12.056, de 13 de octubre de 2004 (expediente de prueba, folio 60).</w:t>
      </w:r>
    </w:p>
  </w:footnote>
  <w:footnote w:id="14">
    <w:p w14:paraId="450654BB" w14:textId="77777777" w:rsidR="00997C54" w:rsidRPr="007A3BFF" w:rsidRDefault="00997C54" w:rsidP="003E34C2">
      <w:pPr>
        <w:pStyle w:val="Textonotapie"/>
        <w:rPr>
          <w:sz w:val="16"/>
          <w:szCs w:val="16"/>
        </w:rPr>
      </w:pPr>
      <w:r w:rsidRPr="007A3BFF">
        <w:rPr>
          <w:rStyle w:val="Refdenotaalpie"/>
          <w:sz w:val="16"/>
          <w:szCs w:val="16"/>
        </w:rPr>
        <w:footnoteRef/>
      </w:r>
      <w:r w:rsidRPr="007A3BFF">
        <w:rPr>
          <w:sz w:val="16"/>
          <w:szCs w:val="16"/>
        </w:rPr>
        <w:t xml:space="preserve"> </w:t>
      </w:r>
      <w:r w:rsidRPr="007A3BFF">
        <w:rPr>
          <w:sz w:val="16"/>
          <w:szCs w:val="16"/>
        </w:rPr>
        <w:tab/>
      </w:r>
      <w:r w:rsidRPr="007A3BFF">
        <w:rPr>
          <w:rFonts w:cs="Arial"/>
          <w:i/>
          <w:sz w:val="16"/>
          <w:szCs w:val="16"/>
        </w:rPr>
        <w:t xml:space="preserve">Cfr. Caso </w:t>
      </w:r>
      <w:proofErr w:type="spellStart"/>
      <w:r w:rsidRPr="007A3BFF">
        <w:rPr>
          <w:rFonts w:cs="Arial"/>
          <w:i/>
          <w:sz w:val="16"/>
          <w:szCs w:val="16"/>
        </w:rPr>
        <w:t>Ivcher</w:t>
      </w:r>
      <w:proofErr w:type="spellEnd"/>
      <w:r w:rsidRPr="007A3BFF">
        <w:rPr>
          <w:rFonts w:cs="Arial"/>
          <w:i/>
          <w:sz w:val="16"/>
          <w:szCs w:val="16"/>
        </w:rPr>
        <w:t xml:space="preserve"> </w:t>
      </w:r>
      <w:proofErr w:type="spellStart"/>
      <w:r w:rsidRPr="007A3BFF">
        <w:rPr>
          <w:rFonts w:cs="Arial"/>
          <w:i/>
          <w:sz w:val="16"/>
          <w:szCs w:val="16"/>
        </w:rPr>
        <w:t>Bronstein</w:t>
      </w:r>
      <w:proofErr w:type="spellEnd"/>
      <w:r w:rsidRPr="007A3BFF">
        <w:rPr>
          <w:rFonts w:cs="Arial"/>
          <w:i/>
          <w:sz w:val="16"/>
          <w:szCs w:val="16"/>
        </w:rPr>
        <w:t xml:space="preserve"> Vs. Perú. Competencia</w:t>
      </w:r>
      <w:r w:rsidRPr="007A3BFF">
        <w:rPr>
          <w:rFonts w:cs="Arial"/>
          <w:sz w:val="16"/>
          <w:szCs w:val="16"/>
        </w:rPr>
        <w:t xml:space="preserve">. Sentencia de 24 de septiembre de 1999. Serie C No. 54, párr. 3, y </w:t>
      </w:r>
      <w:r w:rsidRPr="007A3BFF">
        <w:rPr>
          <w:rStyle w:val="Textoennegrita"/>
          <w:b w:val="0"/>
          <w:i/>
          <w:sz w:val="16"/>
          <w:szCs w:val="16"/>
        </w:rPr>
        <w:t>Caso Rodríguez Vera y otros (Desaparecidos del Palacio de Justicia) Vs. Colombia. Excepciones Preliminares, Fondo, Reparaciones y Costas</w:t>
      </w:r>
      <w:r w:rsidRPr="007A3BFF">
        <w:rPr>
          <w:rStyle w:val="Textoennegrita"/>
          <w:b w:val="0"/>
          <w:sz w:val="16"/>
          <w:szCs w:val="16"/>
        </w:rPr>
        <w:t>. Sentencia de 14 de noviembre de 2014. Serie C No. 287, párr. 41.</w:t>
      </w:r>
    </w:p>
  </w:footnote>
  <w:footnote w:id="15">
    <w:p w14:paraId="1EED5145" w14:textId="68E5EE28" w:rsidR="00997C54" w:rsidRPr="007A3BFF" w:rsidRDefault="00997C54" w:rsidP="003E34C2">
      <w:pPr>
        <w:pStyle w:val="Textonotapie"/>
        <w:tabs>
          <w:tab w:val="left" w:pos="567"/>
        </w:tabs>
        <w:rPr>
          <w:i/>
          <w:sz w:val="16"/>
          <w:szCs w:val="16"/>
        </w:rPr>
      </w:pPr>
      <w:r w:rsidRPr="007A3BFF">
        <w:rPr>
          <w:rStyle w:val="Refdenotaalpie"/>
          <w:sz w:val="16"/>
          <w:szCs w:val="16"/>
        </w:rPr>
        <w:footnoteRef/>
      </w:r>
      <w:r w:rsidRPr="007A3BFF">
        <w:rPr>
          <w:sz w:val="16"/>
          <w:szCs w:val="16"/>
        </w:rPr>
        <w:t xml:space="preserve"> </w:t>
      </w:r>
      <w:r w:rsidRPr="007A3BFF">
        <w:rPr>
          <w:sz w:val="16"/>
          <w:szCs w:val="16"/>
        </w:rPr>
        <w:tab/>
      </w:r>
      <w:r w:rsidRPr="007A3BFF">
        <w:rPr>
          <w:i/>
          <w:sz w:val="16"/>
          <w:szCs w:val="16"/>
        </w:rPr>
        <w:t xml:space="preserve">Cfr. Caso de las Masacres de Ituango Vs. Colombia. Excepción Preliminar, Fondo, Reparaciones y Costas. </w:t>
      </w:r>
      <w:r w:rsidRPr="007A3BFF">
        <w:rPr>
          <w:sz w:val="16"/>
          <w:szCs w:val="16"/>
        </w:rPr>
        <w:t xml:space="preserve">Sentencia de 1 de julio de 2006. Serie C No. 148, párr. 98, y </w:t>
      </w:r>
      <w:r w:rsidRPr="007A3BFF">
        <w:rPr>
          <w:i/>
          <w:sz w:val="16"/>
          <w:szCs w:val="16"/>
        </w:rPr>
        <w:t xml:space="preserve">Caso </w:t>
      </w:r>
      <w:proofErr w:type="spellStart"/>
      <w:r w:rsidRPr="007A3BFF">
        <w:rPr>
          <w:i/>
          <w:sz w:val="16"/>
          <w:szCs w:val="16"/>
        </w:rPr>
        <w:t>Gorigoitía</w:t>
      </w:r>
      <w:proofErr w:type="spellEnd"/>
      <w:r w:rsidRPr="007A3BFF">
        <w:rPr>
          <w:i/>
          <w:sz w:val="16"/>
          <w:szCs w:val="16"/>
        </w:rPr>
        <w:t xml:space="preserve"> Vs. Argentina. Excepción Preliminar, Fondo, Reparaciones y Costas.</w:t>
      </w:r>
      <w:r w:rsidRPr="007A3BFF">
        <w:rPr>
          <w:sz w:val="16"/>
          <w:szCs w:val="16"/>
        </w:rPr>
        <w:t xml:space="preserve"> Sentencia de 2 de septiembre de 2019. Serie C No. 382</w:t>
      </w:r>
      <w:r w:rsidRPr="007A3BFF">
        <w:rPr>
          <w:rStyle w:val="Textoennegrita"/>
          <w:b w:val="0"/>
          <w:sz w:val="16"/>
          <w:szCs w:val="16"/>
          <w:shd w:val="clear" w:color="auto" w:fill="FFFFFF"/>
        </w:rPr>
        <w:t>, párr. 25.</w:t>
      </w:r>
    </w:p>
  </w:footnote>
  <w:footnote w:id="16">
    <w:p w14:paraId="1153748C" w14:textId="61F37F26" w:rsidR="00997C54" w:rsidRPr="007A3BFF" w:rsidRDefault="00997C54" w:rsidP="003E34C2">
      <w:pPr>
        <w:pStyle w:val="Textonotapie"/>
        <w:tabs>
          <w:tab w:val="left" w:pos="567"/>
        </w:tabs>
        <w:rPr>
          <w:i/>
          <w:sz w:val="16"/>
          <w:szCs w:val="16"/>
        </w:rPr>
      </w:pPr>
      <w:r w:rsidRPr="007A3BFF">
        <w:rPr>
          <w:rStyle w:val="Refdenotaalpie"/>
          <w:sz w:val="16"/>
          <w:szCs w:val="16"/>
        </w:rPr>
        <w:footnoteRef/>
      </w:r>
      <w:r w:rsidRPr="007A3BFF">
        <w:rPr>
          <w:sz w:val="16"/>
          <w:szCs w:val="16"/>
        </w:rPr>
        <w:t xml:space="preserve"> </w:t>
      </w:r>
      <w:r w:rsidRPr="007A3BFF">
        <w:rPr>
          <w:sz w:val="16"/>
          <w:szCs w:val="16"/>
        </w:rPr>
        <w:tab/>
        <w:t xml:space="preserve">De conformidad con el cual, cuando se justifique que no fue posible identificarlas, por tratarse de casos de violaciones masivas o colectivas, el Tribunal decidirá en su oportunidad si las considera víctimas de acuerdo con la naturaleza de la violación. </w:t>
      </w:r>
      <w:r w:rsidRPr="007A3BFF">
        <w:rPr>
          <w:i/>
          <w:sz w:val="16"/>
          <w:szCs w:val="16"/>
        </w:rPr>
        <w:t xml:space="preserve">Cfr. Caso Masacres de Río Negro Vs. Guatemala. Excepción Preliminar, Fondo, Reparaciones y Costas. </w:t>
      </w:r>
      <w:r w:rsidRPr="007A3BFF">
        <w:rPr>
          <w:sz w:val="16"/>
          <w:szCs w:val="16"/>
        </w:rPr>
        <w:t xml:space="preserve">Sentencia de 4 de septiembre de 2012. Serie C No. 250, párr. 48, y </w:t>
      </w:r>
      <w:r w:rsidRPr="007A3BFF">
        <w:rPr>
          <w:i/>
          <w:sz w:val="16"/>
          <w:szCs w:val="16"/>
        </w:rPr>
        <w:t xml:space="preserve">Caso </w:t>
      </w:r>
      <w:proofErr w:type="spellStart"/>
      <w:r w:rsidRPr="007A3BFF">
        <w:rPr>
          <w:i/>
          <w:sz w:val="16"/>
          <w:szCs w:val="16"/>
        </w:rPr>
        <w:t>Gorigoitía</w:t>
      </w:r>
      <w:proofErr w:type="spellEnd"/>
      <w:r w:rsidRPr="007A3BFF">
        <w:rPr>
          <w:i/>
          <w:sz w:val="16"/>
          <w:szCs w:val="16"/>
        </w:rPr>
        <w:t xml:space="preserve"> Vs. Argentina</w:t>
      </w:r>
      <w:r>
        <w:rPr>
          <w:i/>
          <w:sz w:val="16"/>
          <w:szCs w:val="16"/>
        </w:rPr>
        <w:t>, supra</w:t>
      </w:r>
      <w:r w:rsidRPr="007A3BFF">
        <w:rPr>
          <w:rStyle w:val="Textoennegrita"/>
          <w:b w:val="0"/>
          <w:sz w:val="16"/>
          <w:szCs w:val="16"/>
          <w:shd w:val="clear" w:color="auto" w:fill="FFFFFF"/>
        </w:rPr>
        <w:t>, párr. 25.</w:t>
      </w:r>
    </w:p>
  </w:footnote>
  <w:footnote w:id="17">
    <w:p w14:paraId="49AAE657" w14:textId="7D125B07" w:rsidR="00997C54" w:rsidRPr="007A3BFF" w:rsidRDefault="00997C54" w:rsidP="003E34C2">
      <w:pPr>
        <w:pStyle w:val="Textonotapie"/>
        <w:tabs>
          <w:tab w:val="left" w:pos="567"/>
        </w:tabs>
        <w:rPr>
          <w:sz w:val="16"/>
          <w:szCs w:val="16"/>
        </w:rPr>
      </w:pPr>
      <w:r w:rsidRPr="007A3BFF">
        <w:rPr>
          <w:rStyle w:val="Refdenotaalpie"/>
          <w:sz w:val="16"/>
          <w:szCs w:val="16"/>
        </w:rPr>
        <w:footnoteRef/>
      </w:r>
      <w:r w:rsidRPr="007A3BFF">
        <w:rPr>
          <w:sz w:val="16"/>
          <w:szCs w:val="16"/>
        </w:rPr>
        <w:t xml:space="preserve"> </w:t>
      </w:r>
      <w:r w:rsidRPr="007A3BFF">
        <w:rPr>
          <w:sz w:val="16"/>
          <w:szCs w:val="16"/>
        </w:rPr>
        <w:tab/>
      </w:r>
      <w:r w:rsidRPr="007A3BFF">
        <w:rPr>
          <w:i/>
          <w:sz w:val="16"/>
          <w:szCs w:val="16"/>
        </w:rPr>
        <w:t>Cfr. Caso de las Masacres de Ituango Vs. Colombia</w:t>
      </w:r>
      <w:r>
        <w:rPr>
          <w:i/>
          <w:sz w:val="16"/>
          <w:szCs w:val="16"/>
        </w:rPr>
        <w:t>, supra</w:t>
      </w:r>
      <w:r w:rsidRPr="007A3BFF">
        <w:rPr>
          <w:sz w:val="16"/>
          <w:szCs w:val="16"/>
        </w:rPr>
        <w:t xml:space="preserve">, párr. 98, y </w:t>
      </w:r>
      <w:r w:rsidRPr="007A3BFF">
        <w:rPr>
          <w:i/>
          <w:sz w:val="16"/>
          <w:szCs w:val="16"/>
        </w:rPr>
        <w:t xml:space="preserve">Caso </w:t>
      </w:r>
      <w:proofErr w:type="spellStart"/>
      <w:r w:rsidRPr="007A3BFF">
        <w:rPr>
          <w:i/>
          <w:sz w:val="16"/>
          <w:szCs w:val="16"/>
        </w:rPr>
        <w:t>Gorigoitía</w:t>
      </w:r>
      <w:proofErr w:type="spellEnd"/>
      <w:r w:rsidRPr="007A3BFF">
        <w:rPr>
          <w:i/>
          <w:sz w:val="16"/>
          <w:szCs w:val="16"/>
        </w:rPr>
        <w:t xml:space="preserve"> Vs. Argentina</w:t>
      </w:r>
      <w:r>
        <w:rPr>
          <w:i/>
          <w:sz w:val="16"/>
          <w:szCs w:val="16"/>
        </w:rPr>
        <w:t>, supra</w:t>
      </w:r>
      <w:r w:rsidRPr="007A3BFF">
        <w:rPr>
          <w:rStyle w:val="Textoennegrita"/>
          <w:b w:val="0"/>
          <w:sz w:val="16"/>
          <w:szCs w:val="16"/>
          <w:shd w:val="clear" w:color="auto" w:fill="FFFFFF"/>
        </w:rPr>
        <w:t xml:space="preserve">, párr. </w:t>
      </w:r>
      <w:r>
        <w:rPr>
          <w:rStyle w:val="Textoennegrita"/>
          <w:b w:val="0"/>
          <w:sz w:val="16"/>
          <w:szCs w:val="16"/>
          <w:shd w:val="clear" w:color="auto" w:fill="FFFFFF"/>
        </w:rPr>
        <w:t>25</w:t>
      </w:r>
      <w:r w:rsidRPr="007A3BFF">
        <w:rPr>
          <w:rStyle w:val="Textoennegrita"/>
          <w:b w:val="0"/>
          <w:sz w:val="16"/>
          <w:szCs w:val="16"/>
          <w:shd w:val="clear" w:color="auto" w:fill="FFFFFF"/>
        </w:rPr>
        <w:t>.</w:t>
      </w:r>
    </w:p>
  </w:footnote>
  <w:footnote w:id="18">
    <w:p w14:paraId="69D7A134" w14:textId="642CDE81" w:rsidR="00997C54" w:rsidRPr="007A3BFF" w:rsidRDefault="00997C54" w:rsidP="003E34C2">
      <w:pPr>
        <w:pStyle w:val="Textonotapie"/>
        <w:rPr>
          <w:sz w:val="16"/>
          <w:szCs w:val="16"/>
        </w:rPr>
      </w:pPr>
      <w:r w:rsidRPr="007A3BFF">
        <w:rPr>
          <w:rStyle w:val="Refdenotaalpie"/>
          <w:sz w:val="16"/>
          <w:szCs w:val="16"/>
        </w:rPr>
        <w:footnoteRef/>
      </w:r>
      <w:r w:rsidRPr="007A3BFF">
        <w:rPr>
          <w:sz w:val="16"/>
          <w:szCs w:val="16"/>
        </w:rPr>
        <w:t xml:space="preserve"> </w:t>
      </w:r>
      <w:r w:rsidRPr="007A3BFF">
        <w:rPr>
          <w:sz w:val="16"/>
          <w:szCs w:val="16"/>
        </w:rPr>
        <w:tab/>
        <w:t xml:space="preserve">La prueba documental puede ser presentada, en general y de conformidad con el artículo 57.2 del Reglamento, junto con los escritos de sometimiento del caso, de solicitudes y argumentos o de contestación, según corresponda, y no es admisible la prueba remitida fuera de esas oportunidades procesales, salvo en las excepciones establecidas en el referido artículo 57.2 del Reglamento (a saber, fuerza mayor, impedimento grave) o salvo si se tratara de un hecho superviniente, es decir, ocurrido con posterioridad a los citados momentos procesales. </w:t>
      </w:r>
      <w:r w:rsidRPr="007A3BFF">
        <w:rPr>
          <w:i/>
          <w:sz w:val="16"/>
          <w:szCs w:val="16"/>
        </w:rPr>
        <w:t>Cfr.</w:t>
      </w:r>
      <w:r w:rsidRPr="007A3BFF">
        <w:rPr>
          <w:sz w:val="16"/>
          <w:szCs w:val="16"/>
        </w:rPr>
        <w:t xml:space="preserve"> </w:t>
      </w:r>
      <w:r w:rsidRPr="007A3BFF">
        <w:rPr>
          <w:i/>
          <w:sz w:val="16"/>
          <w:szCs w:val="16"/>
        </w:rPr>
        <w:t xml:space="preserve">Caso </w:t>
      </w:r>
      <w:proofErr w:type="spellStart"/>
      <w:r w:rsidRPr="007A3BFF">
        <w:rPr>
          <w:i/>
          <w:sz w:val="16"/>
          <w:szCs w:val="16"/>
        </w:rPr>
        <w:t>Barbani</w:t>
      </w:r>
      <w:proofErr w:type="spellEnd"/>
      <w:r w:rsidRPr="007A3BFF">
        <w:rPr>
          <w:i/>
          <w:sz w:val="16"/>
          <w:szCs w:val="16"/>
        </w:rPr>
        <w:t xml:space="preserve"> Duarte y otros Vs. Uruguay. Fondo, Reparaciones y costas. </w:t>
      </w:r>
      <w:r w:rsidRPr="007A3BFF">
        <w:rPr>
          <w:sz w:val="16"/>
          <w:szCs w:val="16"/>
        </w:rPr>
        <w:t xml:space="preserve">Sentencia de 13 de octubre de 2011. Serie C No. 234, párr. 22, y </w:t>
      </w:r>
      <w:r w:rsidRPr="007A3BFF">
        <w:rPr>
          <w:rStyle w:val="Textoennegrita"/>
          <w:b w:val="0"/>
          <w:i/>
          <w:color w:val="000000"/>
          <w:sz w:val="16"/>
          <w:szCs w:val="16"/>
          <w:shd w:val="clear" w:color="auto" w:fill="FFFFFF"/>
        </w:rPr>
        <w:t xml:space="preserve">Caso Arrom </w:t>
      </w:r>
      <w:proofErr w:type="spellStart"/>
      <w:r w:rsidRPr="007A3BFF">
        <w:rPr>
          <w:rStyle w:val="Textoennegrita"/>
          <w:b w:val="0"/>
          <w:i/>
          <w:color w:val="000000"/>
          <w:sz w:val="16"/>
          <w:szCs w:val="16"/>
          <w:shd w:val="clear" w:color="auto" w:fill="FFFFFF"/>
        </w:rPr>
        <w:t>Suhurt</w:t>
      </w:r>
      <w:proofErr w:type="spellEnd"/>
      <w:r w:rsidRPr="007A3BFF">
        <w:rPr>
          <w:rStyle w:val="Textoennegrita"/>
          <w:b w:val="0"/>
          <w:i/>
          <w:color w:val="000000"/>
          <w:sz w:val="16"/>
          <w:szCs w:val="16"/>
          <w:shd w:val="clear" w:color="auto" w:fill="FFFFFF"/>
        </w:rPr>
        <w:t xml:space="preserve"> y otros Vs. Paraguay. Fondo. </w:t>
      </w:r>
      <w:r w:rsidRPr="007A3BFF">
        <w:rPr>
          <w:rStyle w:val="Textoennegrita"/>
          <w:b w:val="0"/>
          <w:color w:val="000000"/>
          <w:sz w:val="16"/>
          <w:szCs w:val="16"/>
          <w:shd w:val="clear" w:color="auto" w:fill="FFFFFF"/>
        </w:rPr>
        <w:t>Sentencia de 13 de mayo de 2019. Serie C No. 377, párr. 40.</w:t>
      </w:r>
    </w:p>
  </w:footnote>
  <w:footnote w:id="19">
    <w:p w14:paraId="10502D6C" w14:textId="437F2C33" w:rsidR="00997C54" w:rsidRPr="007A3BFF" w:rsidRDefault="00997C54" w:rsidP="003E34C2">
      <w:pPr>
        <w:pStyle w:val="Textonotapie"/>
        <w:rPr>
          <w:sz w:val="16"/>
          <w:szCs w:val="16"/>
        </w:rPr>
      </w:pPr>
      <w:r w:rsidRPr="007A3BFF">
        <w:rPr>
          <w:rStyle w:val="Refdenotaalpie"/>
          <w:sz w:val="16"/>
          <w:szCs w:val="16"/>
        </w:rPr>
        <w:footnoteRef/>
      </w:r>
      <w:r w:rsidRPr="007A3BFF">
        <w:rPr>
          <w:sz w:val="16"/>
          <w:szCs w:val="16"/>
        </w:rPr>
        <w:t xml:space="preserve"> </w:t>
      </w:r>
      <w:r w:rsidRPr="007A3BFF">
        <w:rPr>
          <w:sz w:val="16"/>
          <w:szCs w:val="16"/>
        </w:rPr>
        <w:tab/>
        <w:t xml:space="preserve">En la audiencia pública celebrada el 1 de febrero de 2019, la Corte escuchó la declaración de la presunta víctima, Gabriel Óscar Jenkins, así como la declaración del perito Mario Luis Coriolano. Asimismo, la Corte recibió las declaraciones rendidas ante fedatario público (afidávit) de Leticia </w:t>
      </w:r>
      <w:proofErr w:type="spellStart"/>
      <w:r w:rsidRPr="007A3BFF">
        <w:rPr>
          <w:sz w:val="16"/>
          <w:szCs w:val="16"/>
        </w:rPr>
        <w:t>Pironelli</w:t>
      </w:r>
      <w:proofErr w:type="spellEnd"/>
      <w:r w:rsidRPr="007A3BFF">
        <w:rPr>
          <w:sz w:val="16"/>
          <w:szCs w:val="16"/>
        </w:rPr>
        <w:t xml:space="preserve"> y Tomás las Peñas Vallejo, así como el dictamen pericial de Mario Luis Coriolano, propuestos por los representantes. </w:t>
      </w:r>
    </w:p>
  </w:footnote>
  <w:footnote w:id="20">
    <w:p w14:paraId="6EEB406E" w14:textId="77777777" w:rsidR="00997C54" w:rsidRPr="007A3BFF" w:rsidRDefault="00997C54" w:rsidP="003E34C2">
      <w:pPr>
        <w:pStyle w:val="Textonotapie"/>
        <w:tabs>
          <w:tab w:val="left" w:pos="567"/>
        </w:tabs>
        <w:rPr>
          <w:rStyle w:val="Textoennegrita"/>
          <w:b w:val="0"/>
          <w:sz w:val="16"/>
          <w:szCs w:val="16"/>
        </w:rPr>
      </w:pPr>
      <w:r w:rsidRPr="007A3BFF">
        <w:rPr>
          <w:rStyle w:val="Refdenotaalpie"/>
          <w:rFonts w:eastAsia="Calibri"/>
          <w:sz w:val="16"/>
          <w:szCs w:val="16"/>
        </w:rPr>
        <w:footnoteRef/>
      </w:r>
      <w:r w:rsidRPr="007A3BFF">
        <w:rPr>
          <w:sz w:val="16"/>
          <w:szCs w:val="16"/>
        </w:rPr>
        <w:t xml:space="preserve"> </w:t>
      </w:r>
      <w:r w:rsidRPr="007A3BFF">
        <w:rPr>
          <w:sz w:val="16"/>
          <w:szCs w:val="16"/>
        </w:rPr>
        <w:tab/>
      </w:r>
      <w:r w:rsidRPr="007A3BFF">
        <w:rPr>
          <w:sz w:val="16"/>
          <w:szCs w:val="16"/>
        </w:rPr>
        <w:t>Los objetos de todas estas declaraciones se encuentran establecidos en la Resolución del Presidente de la Corte Interamericana emitida el</w:t>
      </w:r>
      <w:r w:rsidRPr="007A3BFF">
        <w:rPr>
          <w:i/>
          <w:sz w:val="16"/>
          <w:szCs w:val="16"/>
        </w:rPr>
        <w:t xml:space="preserve"> </w:t>
      </w:r>
      <w:r w:rsidRPr="007A3BFF">
        <w:rPr>
          <w:rStyle w:val="Textoennegrita"/>
          <w:b w:val="0"/>
          <w:sz w:val="16"/>
          <w:szCs w:val="16"/>
        </w:rPr>
        <w:t xml:space="preserve">19 de diciembre de 2018. Disponible en: </w:t>
      </w:r>
    </w:p>
    <w:p w14:paraId="52139EA4" w14:textId="77777777" w:rsidR="00997C54" w:rsidRPr="007A3BFF" w:rsidRDefault="00060FA6" w:rsidP="003E34C2">
      <w:pPr>
        <w:pStyle w:val="Textonotapie"/>
        <w:rPr>
          <w:rFonts w:eastAsia="ヒラギノ角ゴ Pro W3"/>
          <w:sz w:val="16"/>
          <w:szCs w:val="16"/>
          <w:lang w:val="es-CR"/>
        </w:rPr>
      </w:pPr>
      <w:hyperlink r:id="rId2" w:history="1">
        <w:r w:rsidR="00997C54" w:rsidRPr="007A3BFF">
          <w:rPr>
            <w:rStyle w:val="Hipervnculo"/>
            <w:sz w:val="16"/>
            <w:szCs w:val="16"/>
          </w:rPr>
          <w:t>http://www.corteidh.or.cr/docs/asuntos/jenkins_19_12_18.pdf</w:t>
        </w:r>
      </w:hyperlink>
      <w:r w:rsidR="00997C54" w:rsidRPr="007A3BFF">
        <w:rPr>
          <w:rStyle w:val="Textoennegrita"/>
          <w:b w:val="0"/>
          <w:sz w:val="16"/>
          <w:szCs w:val="16"/>
        </w:rPr>
        <w:t xml:space="preserve"> </w:t>
      </w:r>
    </w:p>
  </w:footnote>
  <w:footnote w:id="21">
    <w:p w14:paraId="55B9DBF5" w14:textId="77777777" w:rsidR="00997C54" w:rsidRPr="007A3BFF" w:rsidRDefault="00997C54" w:rsidP="003E34C2">
      <w:pPr>
        <w:pStyle w:val="Textonotapie"/>
        <w:rPr>
          <w:sz w:val="16"/>
          <w:szCs w:val="16"/>
        </w:rPr>
      </w:pPr>
      <w:r w:rsidRPr="007A3BFF">
        <w:rPr>
          <w:rStyle w:val="Refdenotaalpie"/>
          <w:sz w:val="16"/>
          <w:szCs w:val="16"/>
        </w:rPr>
        <w:footnoteRef/>
      </w:r>
      <w:r w:rsidRPr="007A3BFF">
        <w:rPr>
          <w:sz w:val="16"/>
          <w:szCs w:val="16"/>
        </w:rPr>
        <w:t xml:space="preserve"> </w:t>
      </w:r>
      <w:r w:rsidRPr="007A3BFF">
        <w:rPr>
          <w:sz w:val="16"/>
          <w:szCs w:val="16"/>
        </w:rPr>
        <w:tab/>
      </w:r>
      <w:r w:rsidRPr="007A3BFF">
        <w:rPr>
          <w:i/>
          <w:iCs/>
          <w:sz w:val="16"/>
          <w:szCs w:val="16"/>
        </w:rPr>
        <w:t xml:space="preserve">Cfr. </w:t>
      </w:r>
      <w:r w:rsidRPr="007A3BFF">
        <w:rPr>
          <w:color w:val="000000"/>
          <w:sz w:val="16"/>
          <w:szCs w:val="16"/>
        </w:rPr>
        <w:t xml:space="preserve">Solicitud de la División Operaciones Federales de la Superintendencia de Drogas y la División Inteligencia B de la Gendarmería Nacional, de 7 de junio de 1994 </w:t>
      </w:r>
      <w:r w:rsidRPr="007A3BFF">
        <w:rPr>
          <w:sz w:val="16"/>
          <w:szCs w:val="16"/>
        </w:rPr>
        <w:t>(expediente de prueba, folio 5749)</w:t>
      </w:r>
      <w:r w:rsidRPr="007A3BFF">
        <w:rPr>
          <w:color w:val="000000"/>
          <w:sz w:val="16"/>
          <w:szCs w:val="16"/>
        </w:rPr>
        <w:t>.</w:t>
      </w:r>
    </w:p>
  </w:footnote>
  <w:footnote w:id="22">
    <w:p w14:paraId="563832CC" w14:textId="77777777" w:rsidR="00997C54" w:rsidRPr="007A3BFF" w:rsidRDefault="00997C54" w:rsidP="003E34C2">
      <w:pPr>
        <w:pStyle w:val="Textonotapie"/>
        <w:rPr>
          <w:sz w:val="16"/>
          <w:szCs w:val="16"/>
        </w:rPr>
      </w:pPr>
      <w:r w:rsidRPr="007A3BFF">
        <w:rPr>
          <w:rStyle w:val="Refdenotaalpie"/>
          <w:sz w:val="16"/>
          <w:szCs w:val="16"/>
        </w:rPr>
        <w:footnoteRef/>
      </w:r>
      <w:r w:rsidRPr="007A3BFF">
        <w:rPr>
          <w:sz w:val="16"/>
          <w:szCs w:val="16"/>
        </w:rPr>
        <w:t xml:space="preserve"> </w:t>
      </w:r>
      <w:r w:rsidRPr="007A3BFF">
        <w:rPr>
          <w:sz w:val="16"/>
          <w:szCs w:val="16"/>
        </w:rPr>
        <w:tab/>
      </w:r>
      <w:r w:rsidRPr="007A3BFF">
        <w:rPr>
          <w:i/>
          <w:sz w:val="16"/>
          <w:szCs w:val="16"/>
        </w:rPr>
        <w:t>Cfr</w:t>
      </w:r>
      <w:r w:rsidRPr="007A3BFF">
        <w:rPr>
          <w:sz w:val="16"/>
          <w:szCs w:val="16"/>
        </w:rPr>
        <w:t xml:space="preserve">. Solicitud del Juzgado Nacional en lo Criminal y Correccional Federal Nº 9, de 7 de junio de 1994 (expediente de prueba, folios 5755 y 5756). </w:t>
      </w:r>
    </w:p>
  </w:footnote>
  <w:footnote w:id="23">
    <w:p w14:paraId="4501B26C" w14:textId="3A140B0C" w:rsidR="00997C54" w:rsidRPr="007A3BFF" w:rsidRDefault="00997C54" w:rsidP="003E34C2">
      <w:pPr>
        <w:pStyle w:val="Textonotapie"/>
        <w:rPr>
          <w:sz w:val="16"/>
          <w:szCs w:val="16"/>
        </w:rPr>
      </w:pPr>
      <w:r w:rsidRPr="007A3BFF">
        <w:rPr>
          <w:rStyle w:val="Refdenotaalpie"/>
          <w:sz w:val="16"/>
          <w:szCs w:val="16"/>
        </w:rPr>
        <w:footnoteRef/>
      </w:r>
      <w:r w:rsidRPr="007A3BFF">
        <w:rPr>
          <w:sz w:val="16"/>
          <w:szCs w:val="16"/>
        </w:rPr>
        <w:t xml:space="preserve"> </w:t>
      </w:r>
      <w:r w:rsidRPr="007A3BFF">
        <w:rPr>
          <w:sz w:val="16"/>
          <w:szCs w:val="16"/>
        </w:rPr>
        <w:tab/>
      </w:r>
      <w:r w:rsidRPr="007A3BFF">
        <w:rPr>
          <w:i/>
          <w:iCs/>
          <w:sz w:val="16"/>
          <w:szCs w:val="16"/>
        </w:rPr>
        <w:t xml:space="preserve">Cfr. </w:t>
      </w:r>
      <w:r w:rsidRPr="007A3BFF">
        <w:rPr>
          <w:color w:val="000000"/>
          <w:sz w:val="16"/>
          <w:szCs w:val="16"/>
        </w:rPr>
        <w:t xml:space="preserve">Resolución del sumario No. 1030 decretando el procesamiento del señor Jenkins y otros, de 29 de junio de 1994 </w:t>
      </w:r>
      <w:r w:rsidRPr="007A3BFF">
        <w:rPr>
          <w:sz w:val="16"/>
          <w:szCs w:val="16"/>
        </w:rPr>
        <w:t>(expediente de prueba, folio 5865 y 5868).</w:t>
      </w:r>
    </w:p>
  </w:footnote>
  <w:footnote w:id="24">
    <w:p w14:paraId="6D26ABCE" w14:textId="35D2739E" w:rsidR="00997C54" w:rsidRPr="007A3BFF" w:rsidRDefault="00997C54" w:rsidP="003E34C2">
      <w:pPr>
        <w:pStyle w:val="Textonotapie"/>
        <w:rPr>
          <w:sz w:val="16"/>
          <w:szCs w:val="16"/>
        </w:rPr>
      </w:pPr>
      <w:r w:rsidRPr="007A3BFF">
        <w:rPr>
          <w:rStyle w:val="Refdenotaalpie"/>
          <w:sz w:val="16"/>
          <w:szCs w:val="16"/>
        </w:rPr>
        <w:footnoteRef/>
      </w:r>
      <w:r w:rsidRPr="007A3BFF">
        <w:rPr>
          <w:sz w:val="16"/>
          <w:szCs w:val="16"/>
        </w:rPr>
        <w:t xml:space="preserve"> </w:t>
      </w:r>
      <w:r w:rsidRPr="007A3BFF">
        <w:rPr>
          <w:sz w:val="16"/>
          <w:szCs w:val="16"/>
        </w:rPr>
        <w:tab/>
      </w:r>
      <w:r w:rsidRPr="007A3BFF">
        <w:rPr>
          <w:i/>
          <w:iCs/>
          <w:sz w:val="16"/>
          <w:szCs w:val="16"/>
        </w:rPr>
        <w:t xml:space="preserve">Cfr. </w:t>
      </w:r>
      <w:r w:rsidRPr="007A3BFF">
        <w:rPr>
          <w:color w:val="000000"/>
          <w:sz w:val="16"/>
          <w:szCs w:val="16"/>
        </w:rPr>
        <w:t xml:space="preserve">Resolución del sumario No. 1030 decretando el procesamiento del señor Jenkins y otros, de 29 de junio de 1994 </w:t>
      </w:r>
      <w:r w:rsidRPr="007A3BFF">
        <w:rPr>
          <w:sz w:val="16"/>
          <w:szCs w:val="16"/>
        </w:rPr>
        <w:t>(expediente de prueba, folio 5869).</w:t>
      </w:r>
    </w:p>
  </w:footnote>
  <w:footnote w:id="25">
    <w:p w14:paraId="295D299E" w14:textId="3B264763" w:rsidR="00997C54" w:rsidRPr="007A3BFF" w:rsidRDefault="00997C54" w:rsidP="006D15E2">
      <w:pPr>
        <w:pStyle w:val="Textonotapie"/>
        <w:rPr>
          <w:sz w:val="16"/>
          <w:szCs w:val="16"/>
        </w:rPr>
      </w:pPr>
      <w:r w:rsidRPr="007A3BFF">
        <w:rPr>
          <w:rStyle w:val="Refdenotaalpie"/>
          <w:sz w:val="16"/>
          <w:szCs w:val="16"/>
        </w:rPr>
        <w:footnoteRef/>
      </w:r>
      <w:r w:rsidRPr="007A3BFF">
        <w:rPr>
          <w:sz w:val="16"/>
          <w:szCs w:val="16"/>
        </w:rPr>
        <w:t xml:space="preserve"> </w:t>
      </w:r>
      <w:r w:rsidRPr="007A3BFF">
        <w:rPr>
          <w:sz w:val="16"/>
          <w:szCs w:val="16"/>
        </w:rPr>
        <w:tab/>
        <w:t>La referida Ley No. 24.390 regulaba los plazos máximos de prisión preventiva y sus excepciones. Así, el artículo 1 de la referida Ley establecía lo siguiente:</w:t>
      </w:r>
    </w:p>
    <w:p w14:paraId="21577545" w14:textId="1D14B77D" w:rsidR="00997C54" w:rsidRPr="007A3BFF" w:rsidRDefault="00997C54" w:rsidP="006D15E2">
      <w:pPr>
        <w:pStyle w:val="Textonotapie"/>
        <w:tabs>
          <w:tab w:val="left" w:pos="9360"/>
        </w:tabs>
        <w:spacing w:before="40" w:after="40"/>
        <w:ind w:left="720" w:right="720"/>
        <w:rPr>
          <w:sz w:val="16"/>
          <w:szCs w:val="16"/>
        </w:rPr>
      </w:pPr>
      <w:r w:rsidRPr="007A3BFF">
        <w:rPr>
          <w:sz w:val="16"/>
          <w:szCs w:val="16"/>
        </w:rPr>
        <w:t>La prisión preventiva no podrá ser superior a dos años. No obstante, cuando la cantidad de los delitos atribuidos al procesado o la evidente complejidad de las causas hayan impedido la finalización del proceso en el plazo indicado, ésta podrá prorrogarse un año más por resolución fundada que deberá comunicarse de inmediato al tribunal de apelación que correspondiese para su debido contralor</w:t>
      </w:r>
    </w:p>
    <w:p w14:paraId="63632360" w14:textId="00CF720E" w:rsidR="00997C54" w:rsidRPr="007A3BFF" w:rsidRDefault="00997C54" w:rsidP="006D15E2">
      <w:pPr>
        <w:pStyle w:val="Textonotapie"/>
        <w:rPr>
          <w:sz w:val="16"/>
          <w:szCs w:val="16"/>
        </w:rPr>
      </w:pPr>
      <w:r w:rsidRPr="007A3BFF">
        <w:rPr>
          <w:sz w:val="16"/>
          <w:szCs w:val="16"/>
        </w:rPr>
        <w:t>Asimismo, el artículo 10 de la Ley establecía una excepción a este límite máximo al indicar que éste no se aplicaba en aquellos casos en los que la persona estuviera imputada por un delito de narcotráfico, estableciendo lo siguiente:</w:t>
      </w:r>
    </w:p>
    <w:p w14:paraId="703E3977" w14:textId="5A1A91AE" w:rsidR="00997C54" w:rsidRPr="007A3BFF" w:rsidRDefault="00997C54" w:rsidP="006D15E2">
      <w:pPr>
        <w:pStyle w:val="Textonotapie"/>
        <w:tabs>
          <w:tab w:val="left" w:pos="9360"/>
        </w:tabs>
        <w:spacing w:before="40" w:after="40"/>
        <w:ind w:left="720" w:right="720"/>
        <w:rPr>
          <w:sz w:val="16"/>
          <w:szCs w:val="16"/>
        </w:rPr>
      </w:pPr>
      <w:r w:rsidRPr="007A3BFF">
        <w:rPr>
          <w:sz w:val="16"/>
          <w:szCs w:val="16"/>
        </w:rPr>
        <w:t>Quedan expresamente excluidos de los alcances de la presente ley los imputados por el delito previsto en el artículo 7 de la ley 23.737 y aquellos a quienes resultaren aplicables las agravantes previstas en el artículo 11 de la misma ley.</w:t>
      </w:r>
    </w:p>
  </w:footnote>
  <w:footnote w:id="26">
    <w:p w14:paraId="7F99DE1E" w14:textId="77777777" w:rsidR="00997C54" w:rsidRPr="007A3BFF" w:rsidRDefault="00997C54" w:rsidP="003E34C2">
      <w:pPr>
        <w:pStyle w:val="Textonotapie"/>
        <w:rPr>
          <w:sz w:val="16"/>
          <w:szCs w:val="16"/>
        </w:rPr>
      </w:pPr>
      <w:r w:rsidRPr="007A3BFF">
        <w:rPr>
          <w:rStyle w:val="Refdenotaalpie"/>
          <w:sz w:val="16"/>
          <w:szCs w:val="16"/>
        </w:rPr>
        <w:footnoteRef/>
      </w:r>
      <w:r w:rsidRPr="007A3BFF">
        <w:rPr>
          <w:sz w:val="16"/>
          <w:szCs w:val="16"/>
        </w:rPr>
        <w:t xml:space="preserve"> </w:t>
      </w:r>
      <w:r w:rsidRPr="007A3BFF">
        <w:rPr>
          <w:sz w:val="16"/>
          <w:szCs w:val="16"/>
        </w:rPr>
        <w:tab/>
      </w:r>
      <w:r w:rsidRPr="007A3BFF">
        <w:rPr>
          <w:i/>
          <w:iCs/>
          <w:sz w:val="16"/>
          <w:szCs w:val="16"/>
        </w:rPr>
        <w:t xml:space="preserve">Cfr. </w:t>
      </w:r>
      <w:r w:rsidRPr="007A3BFF">
        <w:rPr>
          <w:color w:val="000000"/>
          <w:sz w:val="16"/>
          <w:szCs w:val="16"/>
        </w:rPr>
        <w:t xml:space="preserve">Recurso de inconstitucionalidad interpuesto por Miguel Ángel </w:t>
      </w:r>
      <w:proofErr w:type="spellStart"/>
      <w:r w:rsidRPr="007A3BFF">
        <w:rPr>
          <w:color w:val="000000"/>
          <w:sz w:val="16"/>
          <w:szCs w:val="16"/>
        </w:rPr>
        <w:t>Buigo</w:t>
      </w:r>
      <w:proofErr w:type="spellEnd"/>
      <w:r w:rsidRPr="007A3BFF">
        <w:rPr>
          <w:color w:val="000000"/>
          <w:sz w:val="16"/>
          <w:szCs w:val="16"/>
        </w:rPr>
        <w:t xml:space="preserve"> y Marcelo Roberto </w:t>
      </w:r>
      <w:proofErr w:type="spellStart"/>
      <w:r w:rsidRPr="007A3BFF">
        <w:rPr>
          <w:color w:val="000000"/>
          <w:sz w:val="16"/>
          <w:szCs w:val="16"/>
        </w:rPr>
        <w:t>Buigo</w:t>
      </w:r>
      <w:proofErr w:type="spellEnd"/>
      <w:r w:rsidRPr="007A3BFF">
        <w:rPr>
          <w:color w:val="000000"/>
          <w:sz w:val="16"/>
          <w:szCs w:val="16"/>
        </w:rPr>
        <w:t xml:space="preserve"> ante el Tribunal Oral No.6 </w:t>
      </w:r>
      <w:r w:rsidRPr="007A3BFF">
        <w:rPr>
          <w:sz w:val="16"/>
          <w:szCs w:val="16"/>
        </w:rPr>
        <w:t>(expediente de prueba, folios 4537 a 4540).</w:t>
      </w:r>
    </w:p>
  </w:footnote>
  <w:footnote w:id="27">
    <w:p w14:paraId="4CEB0E79" w14:textId="77777777" w:rsidR="00997C54" w:rsidRPr="007A3BFF" w:rsidRDefault="00997C54" w:rsidP="003E34C2">
      <w:pPr>
        <w:pStyle w:val="Textonotapie"/>
        <w:rPr>
          <w:sz w:val="16"/>
          <w:szCs w:val="16"/>
        </w:rPr>
      </w:pPr>
      <w:r w:rsidRPr="007A3BFF">
        <w:rPr>
          <w:rStyle w:val="Refdenotaalpie"/>
          <w:sz w:val="16"/>
          <w:szCs w:val="16"/>
        </w:rPr>
        <w:footnoteRef/>
      </w:r>
      <w:r w:rsidRPr="007A3BFF">
        <w:rPr>
          <w:sz w:val="16"/>
          <w:szCs w:val="16"/>
        </w:rPr>
        <w:t xml:space="preserve"> </w:t>
      </w:r>
      <w:r w:rsidRPr="007A3BFF">
        <w:rPr>
          <w:sz w:val="16"/>
          <w:szCs w:val="16"/>
        </w:rPr>
        <w:tab/>
      </w:r>
      <w:r w:rsidRPr="007A3BFF">
        <w:rPr>
          <w:i/>
          <w:iCs/>
          <w:sz w:val="16"/>
          <w:szCs w:val="16"/>
        </w:rPr>
        <w:t xml:space="preserve">Cfr. </w:t>
      </w:r>
      <w:r w:rsidRPr="007A3BFF">
        <w:rPr>
          <w:color w:val="000000"/>
          <w:sz w:val="16"/>
          <w:szCs w:val="16"/>
        </w:rPr>
        <w:t xml:space="preserve">Recurso de inconstitucionalidad interpuesto por Miguel Ángel </w:t>
      </w:r>
      <w:proofErr w:type="spellStart"/>
      <w:r w:rsidRPr="007A3BFF">
        <w:rPr>
          <w:color w:val="000000"/>
          <w:sz w:val="16"/>
          <w:szCs w:val="16"/>
        </w:rPr>
        <w:t>Buigo</w:t>
      </w:r>
      <w:proofErr w:type="spellEnd"/>
      <w:r w:rsidRPr="007A3BFF">
        <w:rPr>
          <w:color w:val="000000"/>
          <w:sz w:val="16"/>
          <w:szCs w:val="16"/>
        </w:rPr>
        <w:t xml:space="preserve"> y Marcelo Roberto </w:t>
      </w:r>
      <w:proofErr w:type="spellStart"/>
      <w:r w:rsidRPr="007A3BFF">
        <w:rPr>
          <w:color w:val="000000"/>
          <w:sz w:val="16"/>
          <w:szCs w:val="16"/>
        </w:rPr>
        <w:t>Buigo</w:t>
      </w:r>
      <w:proofErr w:type="spellEnd"/>
      <w:r w:rsidRPr="007A3BFF">
        <w:rPr>
          <w:color w:val="000000"/>
          <w:sz w:val="16"/>
          <w:szCs w:val="16"/>
        </w:rPr>
        <w:t xml:space="preserve"> ante el Tribunal Oral No.6 </w:t>
      </w:r>
      <w:r w:rsidRPr="007A3BFF">
        <w:rPr>
          <w:sz w:val="16"/>
          <w:szCs w:val="16"/>
        </w:rPr>
        <w:t>(expediente de prueba, folio 4540).</w:t>
      </w:r>
    </w:p>
  </w:footnote>
  <w:footnote w:id="28">
    <w:p w14:paraId="70970F3F" w14:textId="78F58C4D" w:rsidR="00997C54" w:rsidRPr="007A3BFF" w:rsidRDefault="00997C54" w:rsidP="003E34C2">
      <w:pPr>
        <w:pStyle w:val="Textonotapie"/>
        <w:rPr>
          <w:sz w:val="16"/>
          <w:szCs w:val="16"/>
        </w:rPr>
      </w:pPr>
      <w:r w:rsidRPr="007A3BFF">
        <w:rPr>
          <w:rStyle w:val="Refdenotaalpie"/>
          <w:sz w:val="16"/>
          <w:szCs w:val="16"/>
        </w:rPr>
        <w:footnoteRef/>
      </w:r>
      <w:r w:rsidRPr="007A3BFF">
        <w:rPr>
          <w:sz w:val="16"/>
          <w:szCs w:val="16"/>
        </w:rPr>
        <w:t xml:space="preserve"> </w:t>
      </w:r>
      <w:r w:rsidRPr="007A3BFF">
        <w:rPr>
          <w:sz w:val="16"/>
          <w:szCs w:val="16"/>
        </w:rPr>
        <w:tab/>
      </w:r>
      <w:r w:rsidRPr="007A3BFF">
        <w:rPr>
          <w:i/>
          <w:iCs/>
          <w:sz w:val="16"/>
          <w:szCs w:val="16"/>
        </w:rPr>
        <w:t xml:space="preserve">Cfr. </w:t>
      </w:r>
      <w:r w:rsidRPr="007A3BFF">
        <w:rPr>
          <w:color w:val="000000"/>
          <w:sz w:val="16"/>
          <w:szCs w:val="16"/>
        </w:rPr>
        <w:t xml:space="preserve">Resolución del Tribunal Oral No. 6 declarando sin lugar el recurso de inconstitucionalidad, de 2 de octubre de 1996 </w:t>
      </w:r>
      <w:r w:rsidRPr="007A3BFF">
        <w:rPr>
          <w:sz w:val="16"/>
          <w:szCs w:val="16"/>
        </w:rPr>
        <w:t>(expediente de prueba, folios 4549 y 4550).</w:t>
      </w:r>
    </w:p>
  </w:footnote>
  <w:footnote w:id="29">
    <w:p w14:paraId="6E30D52D" w14:textId="7DD9B7CE" w:rsidR="00997C54" w:rsidRPr="007A3BFF" w:rsidRDefault="00997C54" w:rsidP="003E34C2">
      <w:pPr>
        <w:pStyle w:val="Textonotapie"/>
        <w:rPr>
          <w:sz w:val="16"/>
          <w:szCs w:val="16"/>
        </w:rPr>
      </w:pPr>
      <w:r w:rsidRPr="007A3BFF">
        <w:rPr>
          <w:rStyle w:val="Refdenotaalpie"/>
          <w:sz w:val="16"/>
          <w:szCs w:val="16"/>
        </w:rPr>
        <w:footnoteRef/>
      </w:r>
      <w:r w:rsidRPr="007A3BFF">
        <w:rPr>
          <w:sz w:val="16"/>
          <w:szCs w:val="16"/>
        </w:rPr>
        <w:t xml:space="preserve"> </w:t>
      </w:r>
      <w:r w:rsidRPr="007A3BFF">
        <w:rPr>
          <w:sz w:val="16"/>
          <w:szCs w:val="16"/>
        </w:rPr>
        <w:tab/>
      </w:r>
      <w:r w:rsidRPr="007A3BFF">
        <w:rPr>
          <w:i/>
          <w:iCs/>
          <w:sz w:val="16"/>
          <w:szCs w:val="16"/>
        </w:rPr>
        <w:t xml:space="preserve">Cfr. </w:t>
      </w:r>
      <w:r w:rsidRPr="007A3BFF">
        <w:rPr>
          <w:color w:val="000000"/>
          <w:sz w:val="16"/>
          <w:szCs w:val="16"/>
        </w:rPr>
        <w:t xml:space="preserve">Resolución del Tribunal Oral No. 6 declarando sin lugar el recurso de inconstitucionalidad, de 2 de octubre de 1996 </w:t>
      </w:r>
      <w:r w:rsidRPr="007A3BFF">
        <w:rPr>
          <w:sz w:val="16"/>
          <w:szCs w:val="16"/>
        </w:rPr>
        <w:t>(expediente de prueba, folio 4551).</w:t>
      </w:r>
    </w:p>
  </w:footnote>
  <w:footnote w:id="30">
    <w:p w14:paraId="626F11C3" w14:textId="246D5FA9" w:rsidR="00997C54" w:rsidRPr="007A3BFF" w:rsidRDefault="00997C54" w:rsidP="003E34C2">
      <w:pPr>
        <w:pStyle w:val="Textonotapie"/>
        <w:rPr>
          <w:sz w:val="16"/>
          <w:szCs w:val="16"/>
        </w:rPr>
      </w:pPr>
      <w:r w:rsidRPr="007A3BFF">
        <w:rPr>
          <w:rStyle w:val="Refdenotaalpie"/>
          <w:sz w:val="16"/>
          <w:szCs w:val="16"/>
        </w:rPr>
        <w:footnoteRef/>
      </w:r>
      <w:r w:rsidRPr="007A3BFF">
        <w:rPr>
          <w:sz w:val="16"/>
          <w:szCs w:val="16"/>
        </w:rPr>
        <w:t xml:space="preserve"> </w:t>
      </w:r>
      <w:r w:rsidRPr="007A3BFF">
        <w:rPr>
          <w:sz w:val="16"/>
          <w:szCs w:val="16"/>
        </w:rPr>
        <w:tab/>
      </w:r>
      <w:r w:rsidRPr="007A3BFF">
        <w:rPr>
          <w:i/>
          <w:iCs/>
          <w:sz w:val="16"/>
          <w:szCs w:val="16"/>
        </w:rPr>
        <w:t xml:space="preserve">Cfr. </w:t>
      </w:r>
      <w:r w:rsidRPr="007A3BFF">
        <w:rPr>
          <w:color w:val="000000"/>
          <w:sz w:val="16"/>
          <w:szCs w:val="16"/>
        </w:rPr>
        <w:t xml:space="preserve">Resolución del Tribunal Oral No. 6 declarando sin lugar el recurso de inconstitucionalidad, de 2 de octubre de 1996 </w:t>
      </w:r>
      <w:r w:rsidRPr="007A3BFF">
        <w:rPr>
          <w:sz w:val="16"/>
          <w:szCs w:val="16"/>
        </w:rPr>
        <w:t>(expediente de prueba, folio 4552).</w:t>
      </w:r>
    </w:p>
  </w:footnote>
  <w:footnote w:id="31">
    <w:p w14:paraId="5A094DC4" w14:textId="77777777" w:rsidR="00997C54" w:rsidRPr="007A3BFF" w:rsidRDefault="00997C54" w:rsidP="003E34C2">
      <w:pPr>
        <w:pStyle w:val="Textonotapie"/>
        <w:rPr>
          <w:sz w:val="16"/>
          <w:szCs w:val="16"/>
        </w:rPr>
      </w:pPr>
      <w:r w:rsidRPr="007A3BFF">
        <w:rPr>
          <w:rStyle w:val="Refdenotaalpie"/>
          <w:sz w:val="16"/>
          <w:szCs w:val="16"/>
        </w:rPr>
        <w:footnoteRef/>
      </w:r>
      <w:r w:rsidRPr="007A3BFF">
        <w:rPr>
          <w:sz w:val="16"/>
          <w:szCs w:val="16"/>
        </w:rPr>
        <w:t xml:space="preserve"> </w:t>
      </w:r>
      <w:r w:rsidRPr="007A3BFF">
        <w:rPr>
          <w:sz w:val="16"/>
          <w:szCs w:val="16"/>
        </w:rPr>
        <w:tab/>
      </w:r>
      <w:r w:rsidRPr="007A3BFF">
        <w:rPr>
          <w:i/>
          <w:iCs/>
          <w:sz w:val="16"/>
          <w:szCs w:val="16"/>
        </w:rPr>
        <w:t xml:space="preserve">Cfr. </w:t>
      </w:r>
      <w:r w:rsidRPr="007A3BFF">
        <w:rPr>
          <w:color w:val="000000"/>
          <w:sz w:val="16"/>
          <w:szCs w:val="16"/>
        </w:rPr>
        <w:t xml:space="preserve">Recurso de inconstitucionalidad interpuesto por Miguel Ángel </w:t>
      </w:r>
      <w:proofErr w:type="spellStart"/>
      <w:r w:rsidRPr="007A3BFF">
        <w:rPr>
          <w:color w:val="000000"/>
          <w:sz w:val="16"/>
          <w:szCs w:val="16"/>
        </w:rPr>
        <w:t>Buigo</w:t>
      </w:r>
      <w:proofErr w:type="spellEnd"/>
      <w:r w:rsidRPr="007A3BFF">
        <w:rPr>
          <w:color w:val="000000"/>
          <w:sz w:val="16"/>
          <w:szCs w:val="16"/>
        </w:rPr>
        <w:t xml:space="preserve"> y Marcelo Roberto </w:t>
      </w:r>
      <w:proofErr w:type="spellStart"/>
      <w:r w:rsidRPr="007A3BFF">
        <w:rPr>
          <w:color w:val="000000"/>
          <w:sz w:val="16"/>
          <w:szCs w:val="16"/>
        </w:rPr>
        <w:t>Buigo</w:t>
      </w:r>
      <w:proofErr w:type="spellEnd"/>
      <w:r w:rsidRPr="007A3BFF">
        <w:rPr>
          <w:color w:val="000000"/>
          <w:sz w:val="16"/>
          <w:szCs w:val="16"/>
        </w:rPr>
        <w:t xml:space="preserve"> en contra de la resolución de 2 de octubre de 1996, dictada por el Tribunal Oral No.6 </w:t>
      </w:r>
      <w:r w:rsidRPr="007A3BFF">
        <w:rPr>
          <w:sz w:val="16"/>
          <w:szCs w:val="16"/>
        </w:rPr>
        <w:t>(expediente de prueba, folio 4557).</w:t>
      </w:r>
    </w:p>
  </w:footnote>
  <w:footnote w:id="32">
    <w:p w14:paraId="31F92F92" w14:textId="77777777" w:rsidR="00997C54" w:rsidRPr="007A3BFF" w:rsidRDefault="00997C54" w:rsidP="003E34C2">
      <w:pPr>
        <w:pStyle w:val="Textonotapie"/>
        <w:rPr>
          <w:sz w:val="16"/>
          <w:szCs w:val="16"/>
        </w:rPr>
      </w:pPr>
      <w:r w:rsidRPr="007A3BFF">
        <w:rPr>
          <w:rStyle w:val="Refdenotaalpie"/>
          <w:sz w:val="16"/>
          <w:szCs w:val="16"/>
        </w:rPr>
        <w:footnoteRef/>
      </w:r>
      <w:r w:rsidRPr="007A3BFF">
        <w:rPr>
          <w:sz w:val="16"/>
          <w:szCs w:val="16"/>
        </w:rPr>
        <w:t xml:space="preserve"> </w:t>
      </w:r>
      <w:r w:rsidRPr="007A3BFF">
        <w:rPr>
          <w:sz w:val="16"/>
          <w:szCs w:val="16"/>
        </w:rPr>
        <w:tab/>
      </w:r>
      <w:r w:rsidRPr="007A3BFF">
        <w:rPr>
          <w:i/>
          <w:iCs/>
          <w:sz w:val="16"/>
          <w:szCs w:val="16"/>
        </w:rPr>
        <w:t xml:space="preserve">Cfr. </w:t>
      </w:r>
      <w:r w:rsidRPr="007A3BFF">
        <w:rPr>
          <w:color w:val="000000"/>
          <w:sz w:val="16"/>
          <w:szCs w:val="16"/>
        </w:rPr>
        <w:t xml:space="preserve">Recurso de inconstitucionalidad interpuesto por Miguel Ángel </w:t>
      </w:r>
      <w:proofErr w:type="spellStart"/>
      <w:r w:rsidRPr="007A3BFF">
        <w:rPr>
          <w:color w:val="000000"/>
          <w:sz w:val="16"/>
          <w:szCs w:val="16"/>
        </w:rPr>
        <w:t>Buigo</w:t>
      </w:r>
      <w:proofErr w:type="spellEnd"/>
      <w:r w:rsidRPr="007A3BFF">
        <w:rPr>
          <w:color w:val="000000"/>
          <w:sz w:val="16"/>
          <w:szCs w:val="16"/>
        </w:rPr>
        <w:t xml:space="preserve"> y Marcelo Roberto </w:t>
      </w:r>
      <w:proofErr w:type="spellStart"/>
      <w:r w:rsidRPr="007A3BFF">
        <w:rPr>
          <w:color w:val="000000"/>
          <w:sz w:val="16"/>
          <w:szCs w:val="16"/>
        </w:rPr>
        <w:t>Buigo</w:t>
      </w:r>
      <w:proofErr w:type="spellEnd"/>
      <w:r w:rsidRPr="007A3BFF">
        <w:rPr>
          <w:color w:val="000000"/>
          <w:sz w:val="16"/>
          <w:szCs w:val="16"/>
        </w:rPr>
        <w:t xml:space="preserve"> en contra de la resolución de 2 de octubre de 1996, dictada por el Tribunal Oral No.6 </w:t>
      </w:r>
      <w:r w:rsidRPr="007A3BFF">
        <w:rPr>
          <w:sz w:val="16"/>
          <w:szCs w:val="16"/>
        </w:rPr>
        <w:t>(expediente de prueba, folios 4559 a 4563).</w:t>
      </w:r>
    </w:p>
  </w:footnote>
  <w:footnote w:id="33">
    <w:p w14:paraId="3FA2C5F0" w14:textId="77777777" w:rsidR="00997C54" w:rsidRPr="007A3BFF" w:rsidRDefault="00997C54" w:rsidP="003E34C2">
      <w:pPr>
        <w:pStyle w:val="Textonotapie"/>
        <w:rPr>
          <w:sz w:val="16"/>
          <w:szCs w:val="16"/>
        </w:rPr>
      </w:pPr>
      <w:r w:rsidRPr="007A3BFF">
        <w:rPr>
          <w:rStyle w:val="Refdenotaalpie"/>
          <w:sz w:val="16"/>
          <w:szCs w:val="16"/>
        </w:rPr>
        <w:footnoteRef/>
      </w:r>
      <w:r w:rsidRPr="007A3BFF">
        <w:rPr>
          <w:sz w:val="16"/>
          <w:szCs w:val="16"/>
        </w:rPr>
        <w:t xml:space="preserve"> </w:t>
      </w:r>
      <w:r w:rsidRPr="007A3BFF">
        <w:rPr>
          <w:sz w:val="16"/>
          <w:szCs w:val="16"/>
        </w:rPr>
        <w:tab/>
      </w:r>
      <w:r w:rsidRPr="007A3BFF">
        <w:rPr>
          <w:i/>
          <w:iCs/>
          <w:sz w:val="16"/>
          <w:szCs w:val="16"/>
        </w:rPr>
        <w:t xml:space="preserve">Cfr. </w:t>
      </w:r>
      <w:r w:rsidRPr="007A3BFF">
        <w:rPr>
          <w:color w:val="000000"/>
          <w:sz w:val="16"/>
          <w:szCs w:val="16"/>
        </w:rPr>
        <w:t xml:space="preserve">Recurso de inconstitucionalidad interpuesto por Miguel Ángel </w:t>
      </w:r>
      <w:proofErr w:type="spellStart"/>
      <w:r w:rsidRPr="007A3BFF">
        <w:rPr>
          <w:color w:val="000000"/>
          <w:sz w:val="16"/>
          <w:szCs w:val="16"/>
        </w:rPr>
        <w:t>Buigo</w:t>
      </w:r>
      <w:proofErr w:type="spellEnd"/>
      <w:r w:rsidRPr="007A3BFF">
        <w:rPr>
          <w:color w:val="000000"/>
          <w:sz w:val="16"/>
          <w:szCs w:val="16"/>
        </w:rPr>
        <w:t xml:space="preserve"> y Marcelo Roberto </w:t>
      </w:r>
      <w:proofErr w:type="spellStart"/>
      <w:r w:rsidRPr="007A3BFF">
        <w:rPr>
          <w:color w:val="000000"/>
          <w:sz w:val="16"/>
          <w:szCs w:val="16"/>
        </w:rPr>
        <w:t>Buigo</w:t>
      </w:r>
      <w:proofErr w:type="spellEnd"/>
      <w:r w:rsidRPr="007A3BFF">
        <w:rPr>
          <w:color w:val="000000"/>
          <w:sz w:val="16"/>
          <w:szCs w:val="16"/>
        </w:rPr>
        <w:t xml:space="preserve"> en contra de la resolución de 2 de octubre de 1996, dictada por el Tribunal Oral No.6 </w:t>
      </w:r>
      <w:r w:rsidRPr="007A3BFF">
        <w:rPr>
          <w:sz w:val="16"/>
          <w:szCs w:val="16"/>
        </w:rPr>
        <w:t>(expediente de prueba, folio 4561).</w:t>
      </w:r>
    </w:p>
  </w:footnote>
  <w:footnote w:id="34">
    <w:p w14:paraId="6290501E" w14:textId="77777777" w:rsidR="00997C54" w:rsidRPr="007A3BFF" w:rsidRDefault="00997C54" w:rsidP="003E34C2">
      <w:pPr>
        <w:pStyle w:val="Textonotapie"/>
        <w:rPr>
          <w:sz w:val="16"/>
          <w:szCs w:val="16"/>
        </w:rPr>
      </w:pPr>
      <w:r w:rsidRPr="007A3BFF">
        <w:rPr>
          <w:rStyle w:val="Refdenotaalpie"/>
          <w:sz w:val="16"/>
          <w:szCs w:val="16"/>
        </w:rPr>
        <w:footnoteRef/>
      </w:r>
      <w:r w:rsidRPr="007A3BFF">
        <w:rPr>
          <w:sz w:val="16"/>
          <w:szCs w:val="16"/>
        </w:rPr>
        <w:t xml:space="preserve"> </w:t>
      </w:r>
      <w:r w:rsidRPr="007A3BFF">
        <w:rPr>
          <w:sz w:val="16"/>
          <w:szCs w:val="16"/>
        </w:rPr>
        <w:tab/>
      </w:r>
      <w:r w:rsidRPr="007A3BFF">
        <w:rPr>
          <w:i/>
          <w:iCs/>
          <w:sz w:val="16"/>
          <w:szCs w:val="16"/>
        </w:rPr>
        <w:t xml:space="preserve">Cfr. </w:t>
      </w:r>
      <w:r w:rsidRPr="007A3BFF">
        <w:rPr>
          <w:color w:val="000000"/>
          <w:sz w:val="16"/>
          <w:szCs w:val="16"/>
        </w:rPr>
        <w:t xml:space="preserve">Resolución de la Sala I de la Cámara Nacional de Casación Penal que deniega el recurso de inconstitucionalidad, de 24 de febrero de 1997 </w:t>
      </w:r>
      <w:r w:rsidRPr="007A3BFF">
        <w:rPr>
          <w:sz w:val="16"/>
          <w:szCs w:val="16"/>
        </w:rPr>
        <w:t>(expediente de prueba, folios 4569 a 4570).</w:t>
      </w:r>
    </w:p>
  </w:footnote>
  <w:footnote w:id="35">
    <w:p w14:paraId="555E771F" w14:textId="77777777" w:rsidR="00997C54" w:rsidRPr="007A3BFF" w:rsidRDefault="00997C54" w:rsidP="003E34C2">
      <w:pPr>
        <w:pStyle w:val="Textonotapie"/>
        <w:rPr>
          <w:sz w:val="16"/>
          <w:szCs w:val="16"/>
        </w:rPr>
      </w:pPr>
      <w:r w:rsidRPr="007A3BFF">
        <w:rPr>
          <w:rStyle w:val="Refdenotaalpie"/>
          <w:sz w:val="16"/>
          <w:szCs w:val="16"/>
        </w:rPr>
        <w:footnoteRef/>
      </w:r>
      <w:r w:rsidRPr="007A3BFF">
        <w:rPr>
          <w:sz w:val="16"/>
          <w:szCs w:val="16"/>
        </w:rPr>
        <w:t xml:space="preserve"> </w:t>
      </w:r>
      <w:r w:rsidRPr="007A3BFF">
        <w:rPr>
          <w:sz w:val="16"/>
          <w:szCs w:val="16"/>
        </w:rPr>
        <w:tab/>
      </w:r>
      <w:r w:rsidRPr="007A3BFF">
        <w:rPr>
          <w:i/>
          <w:iCs/>
          <w:sz w:val="16"/>
          <w:szCs w:val="16"/>
        </w:rPr>
        <w:t xml:space="preserve">Cfr. </w:t>
      </w:r>
      <w:r w:rsidRPr="007A3BFF">
        <w:rPr>
          <w:color w:val="000000"/>
          <w:sz w:val="16"/>
          <w:szCs w:val="16"/>
        </w:rPr>
        <w:t xml:space="preserve">Recurso extraordinario interpuesto por la defensa de Gabriel Oscar Jenkins contra la decisión de la Sala I de la Cámara Nacional de Casación Penal, de 28 de febrero de 1997 </w:t>
      </w:r>
      <w:r w:rsidRPr="007A3BFF">
        <w:rPr>
          <w:sz w:val="16"/>
          <w:szCs w:val="16"/>
        </w:rPr>
        <w:t xml:space="preserve">(expediente de prueba, folios 4572 a 4586). </w:t>
      </w:r>
    </w:p>
  </w:footnote>
  <w:footnote w:id="36">
    <w:p w14:paraId="240CD381" w14:textId="4A05628C" w:rsidR="00997C54" w:rsidRPr="007A3BFF" w:rsidRDefault="00997C54" w:rsidP="003E34C2">
      <w:pPr>
        <w:pStyle w:val="Textonotapie"/>
        <w:rPr>
          <w:sz w:val="16"/>
          <w:szCs w:val="16"/>
        </w:rPr>
      </w:pPr>
      <w:r w:rsidRPr="007A3BFF">
        <w:rPr>
          <w:rStyle w:val="Refdenotaalpie"/>
          <w:sz w:val="16"/>
          <w:szCs w:val="16"/>
        </w:rPr>
        <w:footnoteRef/>
      </w:r>
      <w:r w:rsidRPr="007A3BFF">
        <w:rPr>
          <w:sz w:val="16"/>
          <w:szCs w:val="16"/>
        </w:rPr>
        <w:t xml:space="preserve"> </w:t>
      </w:r>
      <w:r w:rsidRPr="007A3BFF">
        <w:rPr>
          <w:sz w:val="16"/>
          <w:szCs w:val="16"/>
        </w:rPr>
        <w:tab/>
      </w:r>
      <w:r w:rsidRPr="007A3BFF">
        <w:rPr>
          <w:i/>
          <w:iCs/>
          <w:sz w:val="16"/>
          <w:szCs w:val="16"/>
        </w:rPr>
        <w:t xml:space="preserve">Cfr. </w:t>
      </w:r>
      <w:r w:rsidRPr="007A3BFF">
        <w:rPr>
          <w:color w:val="000000"/>
          <w:sz w:val="16"/>
          <w:szCs w:val="16"/>
        </w:rPr>
        <w:t xml:space="preserve">Resolución de la Sala I de la Cámara Nacional de Casación Penal que deniega el recurso extraordinario, de 10 abril de 1997 </w:t>
      </w:r>
      <w:r w:rsidRPr="007A3BFF">
        <w:rPr>
          <w:sz w:val="16"/>
          <w:szCs w:val="16"/>
        </w:rPr>
        <w:t>(expediente de prueba, folios 4589 y 4591).</w:t>
      </w:r>
    </w:p>
  </w:footnote>
  <w:footnote w:id="37">
    <w:p w14:paraId="1B1ABD47" w14:textId="7B2B4327" w:rsidR="00997C54" w:rsidRPr="007A3BFF" w:rsidRDefault="00997C54" w:rsidP="003E34C2">
      <w:pPr>
        <w:pStyle w:val="Textonotapie"/>
        <w:rPr>
          <w:sz w:val="16"/>
          <w:szCs w:val="16"/>
        </w:rPr>
      </w:pPr>
      <w:r w:rsidRPr="007A3BFF">
        <w:rPr>
          <w:rStyle w:val="Refdenotaalpie"/>
          <w:sz w:val="16"/>
          <w:szCs w:val="16"/>
        </w:rPr>
        <w:footnoteRef/>
      </w:r>
      <w:r w:rsidRPr="007A3BFF">
        <w:rPr>
          <w:sz w:val="16"/>
          <w:szCs w:val="16"/>
        </w:rPr>
        <w:t xml:space="preserve"> </w:t>
      </w:r>
      <w:r w:rsidRPr="007A3BFF">
        <w:rPr>
          <w:sz w:val="16"/>
          <w:szCs w:val="16"/>
        </w:rPr>
        <w:tab/>
      </w:r>
      <w:r w:rsidRPr="007A3BFF">
        <w:rPr>
          <w:i/>
          <w:iCs/>
          <w:sz w:val="16"/>
          <w:szCs w:val="16"/>
        </w:rPr>
        <w:t xml:space="preserve">Cfr. </w:t>
      </w:r>
      <w:r w:rsidRPr="007A3BFF">
        <w:rPr>
          <w:iCs/>
          <w:sz w:val="16"/>
          <w:szCs w:val="16"/>
        </w:rPr>
        <w:t>Ampliación del r</w:t>
      </w:r>
      <w:r w:rsidRPr="007A3BFF">
        <w:rPr>
          <w:color w:val="000000"/>
          <w:sz w:val="16"/>
          <w:szCs w:val="16"/>
        </w:rPr>
        <w:t xml:space="preserve">ecurso de queja interpuesto por el señor Jenkins contra el recurso extraordinario denegado, de 22 de junio de 1997 </w:t>
      </w:r>
      <w:r w:rsidRPr="007A3BFF">
        <w:rPr>
          <w:sz w:val="16"/>
          <w:szCs w:val="16"/>
        </w:rPr>
        <w:t xml:space="preserve">(expediente de prueba, folio 4593). </w:t>
      </w:r>
    </w:p>
  </w:footnote>
  <w:footnote w:id="38">
    <w:p w14:paraId="6BDC1638" w14:textId="77777777" w:rsidR="00997C54" w:rsidRPr="007A3BFF" w:rsidRDefault="00997C54" w:rsidP="003E34C2">
      <w:pPr>
        <w:pStyle w:val="Textonotapie"/>
        <w:rPr>
          <w:sz w:val="16"/>
          <w:szCs w:val="16"/>
        </w:rPr>
      </w:pPr>
      <w:r w:rsidRPr="007A3BFF">
        <w:rPr>
          <w:rStyle w:val="Refdenotaalpie"/>
          <w:sz w:val="16"/>
          <w:szCs w:val="16"/>
        </w:rPr>
        <w:footnoteRef/>
      </w:r>
      <w:r w:rsidRPr="007A3BFF">
        <w:rPr>
          <w:sz w:val="16"/>
          <w:szCs w:val="16"/>
        </w:rPr>
        <w:t xml:space="preserve"> </w:t>
      </w:r>
      <w:r w:rsidRPr="007A3BFF">
        <w:rPr>
          <w:sz w:val="16"/>
          <w:szCs w:val="16"/>
        </w:rPr>
        <w:tab/>
      </w:r>
      <w:r w:rsidRPr="007A3BFF">
        <w:rPr>
          <w:i/>
          <w:iCs/>
          <w:sz w:val="16"/>
          <w:szCs w:val="16"/>
        </w:rPr>
        <w:t xml:space="preserve">Cfr. </w:t>
      </w:r>
      <w:r w:rsidRPr="007A3BFF">
        <w:rPr>
          <w:iCs/>
          <w:sz w:val="16"/>
          <w:szCs w:val="16"/>
        </w:rPr>
        <w:t>Recurso de queja por denegación de recurso extraordinario, de 28 de abril de 1997 (expediente de prueba, folio 4029).</w:t>
      </w:r>
    </w:p>
  </w:footnote>
  <w:footnote w:id="39">
    <w:p w14:paraId="754D62D8" w14:textId="7499D524" w:rsidR="00997C54" w:rsidRPr="007A3BFF" w:rsidRDefault="00997C54" w:rsidP="003E34C2">
      <w:pPr>
        <w:pStyle w:val="Textonotapie"/>
        <w:rPr>
          <w:sz w:val="16"/>
          <w:szCs w:val="16"/>
        </w:rPr>
      </w:pPr>
      <w:r w:rsidRPr="007A3BFF">
        <w:rPr>
          <w:rStyle w:val="Refdenotaalpie"/>
          <w:sz w:val="16"/>
          <w:szCs w:val="16"/>
        </w:rPr>
        <w:footnoteRef/>
      </w:r>
      <w:r w:rsidRPr="007A3BFF">
        <w:rPr>
          <w:sz w:val="16"/>
          <w:szCs w:val="16"/>
        </w:rPr>
        <w:t xml:space="preserve"> </w:t>
      </w:r>
      <w:r w:rsidRPr="007A3BFF">
        <w:rPr>
          <w:sz w:val="16"/>
          <w:szCs w:val="16"/>
        </w:rPr>
        <w:tab/>
      </w:r>
      <w:r w:rsidRPr="007A3BFF">
        <w:rPr>
          <w:i/>
          <w:iCs/>
          <w:sz w:val="16"/>
          <w:szCs w:val="16"/>
        </w:rPr>
        <w:t xml:space="preserve">Cfr. </w:t>
      </w:r>
      <w:r w:rsidRPr="007A3BFF">
        <w:rPr>
          <w:color w:val="222222"/>
          <w:sz w:val="16"/>
          <w:szCs w:val="16"/>
        </w:rPr>
        <w:t xml:space="preserve">Recurso solicitando garantía de libertad y separación de juicio, de 29 de abril de 1997 </w:t>
      </w:r>
      <w:r w:rsidRPr="007A3BFF">
        <w:rPr>
          <w:sz w:val="16"/>
          <w:szCs w:val="16"/>
        </w:rPr>
        <w:t xml:space="preserve">(expediente de prueba, folio 4689). El señor Jenkins alegó, </w:t>
      </w:r>
      <w:r w:rsidRPr="007A3BFF">
        <w:rPr>
          <w:i/>
          <w:sz w:val="16"/>
          <w:szCs w:val="16"/>
        </w:rPr>
        <w:t xml:space="preserve">inter </w:t>
      </w:r>
      <w:proofErr w:type="spellStart"/>
      <w:r w:rsidRPr="007A3BFF">
        <w:rPr>
          <w:i/>
          <w:sz w:val="16"/>
          <w:szCs w:val="16"/>
        </w:rPr>
        <w:t>alia</w:t>
      </w:r>
      <w:proofErr w:type="spellEnd"/>
      <w:r w:rsidRPr="007A3BFF">
        <w:rPr>
          <w:sz w:val="16"/>
          <w:szCs w:val="16"/>
        </w:rPr>
        <w:t xml:space="preserve">, que (i) había una presunción de que el acusado había cometido un delito, (ii) no existía peligro de fuga ni de comisión de nuevos delitos, (iii) no había necesidad de investigar ni la posibilidad de colusión, (iv) no existía riesgo de ejercer presión sobre los testigos ni de (v) preservar el orden público. </w:t>
      </w:r>
      <w:r w:rsidRPr="007A3BFF">
        <w:rPr>
          <w:i/>
          <w:iCs/>
          <w:sz w:val="16"/>
          <w:szCs w:val="16"/>
        </w:rPr>
        <w:t xml:space="preserve">Cfr. </w:t>
      </w:r>
      <w:r w:rsidRPr="007A3BFF">
        <w:rPr>
          <w:color w:val="222222"/>
          <w:sz w:val="16"/>
          <w:szCs w:val="16"/>
        </w:rPr>
        <w:t xml:space="preserve">Recurso solicitando garantía de libertad y separación de juicio, de 29 de abril de 1997 </w:t>
      </w:r>
      <w:r w:rsidRPr="007A3BFF">
        <w:rPr>
          <w:sz w:val="16"/>
          <w:szCs w:val="16"/>
        </w:rPr>
        <w:t>(expediente de prueba, folios 4690 a 4694).</w:t>
      </w:r>
    </w:p>
  </w:footnote>
  <w:footnote w:id="40">
    <w:p w14:paraId="4FD2F29E" w14:textId="2B173AF6" w:rsidR="00997C54" w:rsidRPr="007A3BFF" w:rsidRDefault="00997C54">
      <w:pPr>
        <w:pStyle w:val="Textonotapie"/>
        <w:rPr>
          <w:sz w:val="16"/>
          <w:szCs w:val="16"/>
        </w:rPr>
      </w:pPr>
      <w:r w:rsidRPr="007A3BFF">
        <w:rPr>
          <w:rStyle w:val="Refdenotaalpie"/>
          <w:sz w:val="16"/>
          <w:szCs w:val="16"/>
        </w:rPr>
        <w:footnoteRef/>
      </w:r>
      <w:r w:rsidRPr="007A3BFF">
        <w:rPr>
          <w:sz w:val="16"/>
          <w:szCs w:val="16"/>
        </w:rPr>
        <w:t xml:space="preserve"> </w:t>
      </w:r>
      <w:r w:rsidRPr="007A3BFF">
        <w:rPr>
          <w:sz w:val="16"/>
          <w:szCs w:val="16"/>
        </w:rPr>
        <w:tab/>
      </w:r>
      <w:r w:rsidRPr="007A3BFF">
        <w:rPr>
          <w:i/>
          <w:sz w:val="16"/>
          <w:szCs w:val="16"/>
        </w:rPr>
        <w:t>Cfr</w:t>
      </w:r>
      <w:r w:rsidRPr="007A3BFF">
        <w:rPr>
          <w:sz w:val="16"/>
          <w:szCs w:val="16"/>
        </w:rPr>
        <w:t xml:space="preserve">. </w:t>
      </w:r>
      <w:r w:rsidRPr="007A3BFF">
        <w:rPr>
          <w:iCs/>
          <w:sz w:val="16"/>
          <w:szCs w:val="16"/>
        </w:rPr>
        <w:t>Ampliación del r</w:t>
      </w:r>
      <w:r w:rsidRPr="007A3BFF">
        <w:rPr>
          <w:color w:val="000000"/>
          <w:sz w:val="16"/>
          <w:szCs w:val="16"/>
        </w:rPr>
        <w:t>ecurso de queja interpuesto por el señor Jenkins contra el recurso extraordinario denegado</w:t>
      </w:r>
      <w:r>
        <w:rPr>
          <w:sz w:val="16"/>
          <w:szCs w:val="16"/>
        </w:rPr>
        <w:t>, de 22 de junio de 1997 (e</w:t>
      </w:r>
      <w:r w:rsidRPr="007A3BFF">
        <w:rPr>
          <w:sz w:val="16"/>
          <w:szCs w:val="16"/>
        </w:rPr>
        <w:t>xpediente de prueba, folio 4594).</w:t>
      </w:r>
    </w:p>
  </w:footnote>
  <w:footnote w:id="41">
    <w:p w14:paraId="34D5E617" w14:textId="2042D26C" w:rsidR="00997C54" w:rsidRPr="007A3BFF" w:rsidRDefault="00997C54" w:rsidP="003E34C2">
      <w:pPr>
        <w:pStyle w:val="Textonotapie"/>
        <w:rPr>
          <w:sz w:val="16"/>
          <w:szCs w:val="16"/>
        </w:rPr>
      </w:pPr>
      <w:r w:rsidRPr="007A3BFF">
        <w:rPr>
          <w:rStyle w:val="Refdenotaalpie"/>
          <w:sz w:val="16"/>
          <w:szCs w:val="16"/>
        </w:rPr>
        <w:footnoteRef/>
      </w:r>
      <w:r w:rsidRPr="007A3BFF">
        <w:rPr>
          <w:sz w:val="16"/>
          <w:szCs w:val="16"/>
        </w:rPr>
        <w:t xml:space="preserve"> </w:t>
      </w:r>
      <w:r w:rsidRPr="007A3BFF">
        <w:rPr>
          <w:sz w:val="16"/>
          <w:szCs w:val="16"/>
        </w:rPr>
        <w:tab/>
      </w:r>
      <w:r w:rsidRPr="007A3BFF">
        <w:rPr>
          <w:i/>
          <w:iCs/>
          <w:sz w:val="16"/>
          <w:szCs w:val="16"/>
        </w:rPr>
        <w:t xml:space="preserve">Cfr. </w:t>
      </w:r>
      <w:r w:rsidRPr="007A3BFF">
        <w:rPr>
          <w:iCs/>
          <w:sz w:val="16"/>
          <w:szCs w:val="16"/>
        </w:rPr>
        <w:t>Ampliación del r</w:t>
      </w:r>
      <w:r w:rsidRPr="007A3BFF">
        <w:rPr>
          <w:color w:val="000000"/>
          <w:sz w:val="16"/>
          <w:szCs w:val="16"/>
        </w:rPr>
        <w:t>ecurso de queja interpuesto por el señor Jenkins contra el recurso extraordinario denegado</w:t>
      </w:r>
      <w:r w:rsidRPr="007A3BFF">
        <w:rPr>
          <w:sz w:val="16"/>
          <w:szCs w:val="16"/>
        </w:rPr>
        <w:t xml:space="preserve">, de 22 de junio de 1997 (expediente de prueba, folios 4593 a 4621). </w:t>
      </w:r>
    </w:p>
  </w:footnote>
  <w:footnote w:id="42">
    <w:p w14:paraId="0CE8D04F" w14:textId="3DCC89F9" w:rsidR="00997C54" w:rsidRPr="007A3BFF" w:rsidRDefault="00997C54" w:rsidP="003E34C2">
      <w:pPr>
        <w:pStyle w:val="Textonotapie"/>
        <w:rPr>
          <w:sz w:val="16"/>
          <w:szCs w:val="16"/>
        </w:rPr>
      </w:pPr>
      <w:r w:rsidRPr="007A3BFF">
        <w:rPr>
          <w:rStyle w:val="Refdenotaalpie"/>
          <w:sz w:val="16"/>
          <w:szCs w:val="16"/>
        </w:rPr>
        <w:footnoteRef/>
      </w:r>
      <w:r w:rsidRPr="007A3BFF">
        <w:rPr>
          <w:sz w:val="16"/>
          <w:szCs w:val="16"/>
        </w:rPr>
        <w:t xml:space="preserve"> </w:t>
      </w:r>
      <w:r w:rsidRPr="007A3BFF">
        <w:rPr>
          <w:sz w:val="16"/>
          <w:szCs w:val="16"/>
        </w:rPr>
        <w:tab/>
      </w:r>
      <w:r w:rsidRPr="007A3BFF">
        <w:rPr>
          <w:i/>
          <w:iCs/>
          <w:sz w:val="16"/>
          <w:szCs w:val="16"/>
        </w:rPr>
        <w:t xml:space="preserve">Cfr. </w:t>
      </w:r>
      <w:r w:rsidRPr="007A3BFF">
        <w:rPr>
          <w:sz w:val="16"/>
          <w:szCs w:val="16"/>
        </w:rPr>
        <w:t>Sentencia de la Sala III de la Cámara Nacional de Apelaciones en lo Contencioso Administrativo Federal, de 25 de marzo de 2008 (expediente de prueba, folio 4670).</w:t>
      </w:r>
    </w:p>
  </w:footnote>
  <w:footnote w:id="43">
    <w:p w14:paraId="5A8C12E8" w14:textId="778EC2A0" w:rsidR="00997C54" w:rsidRPr="007A3BFF" w:rsidRDefault="00997C54" w:rsidP="003E34C2">
      <w:pPr>
        <w:pStyle w:val="Textonotapie"/>
        <w:rPr>
          <w:sz w:val="16"/>
          <w:szCs w:val="16"/>
        </w:rPr>
      </w:pPr>
      <w:r w:rsidRPr="007A3BFF">
        <w:rPr>
          <w:rStyle w:val="Refdenotaalpie"/>
          <w:sz w:val="16"/>
          <w:szCs w:val="16"/>
        </w:rPr>
        <w:footnoteRef/>
      </w:r>
      <w:r w:rsidRPr="007A3BFF">
        <w:rPr>
          <w:sz w:val="16"/>
          <w:szCs w:val="16"/>
        </w:rPr>
        <w:t xml:space="preserve"> </w:t>
      </w:r>
      <w:r w:rsidRPr="007A3BFF">
        <w:rPr>
          <w:sz w:val="16"/>
          <w:szCs w:val="16"/>
        </w:rPr>
        <w:tab/>
      </w:r>
      <w:r w:rsidRPr="007A3BFF">
        <w:rPr>
          <w:i/>
          <w:iCs/>
          <w:sz w:val="16"/>
          <w:szCs w:val="16"/>
        </w:rPr>
        <w:t xml:space="preserve">Cfr. </w:t>
      </w:r>
      <w:r w:rsidRPr="007A3BFF">
        <w:rPr>
          <w:sz w:val="16"/>
          <w:szCs w:val="16"/>
        </w:rPr>
        <w:t xml:space="preserve">Sentencia de la Sala III de la Cámara Nacional de Apelaciones en lo Contencioso Administrativo Federal, de 25 de marzo de 2008 (expediente de prueba, folio 4670) y recurso de reposición </w:t>
      </w:r>
      <w:r w:rsidRPr="007A3BFF">
        <w:rPr>
          <w:i/>
          <w:sz w:val="16"/>
          <w:szCs w:val="16"/>
        </w:rPr>
        <w:t>in extremis</w:t>
      </w:r>
      <w:r w:rsidRPr="007A3BFF">
        <w:rPr>
          <w:sz w:val="16"/>
          <w:szCs w:val="16"/>
        </w:rPr>
        <w:t>, de 27 de octubre de 1997 (expediente de prueba, folios 4712 a 4722).</w:t>
      </w:r>
    </w:p>
  </w:footnote>
  <w:footnote w:id="44">
    <w:p w14:paraId="4ABE2E90" w14:textId="77777777" w:rsidR="00997C54" w:rsidRPr="007A3BFF" w:rsidRDefault="00997C54" w:rsidP="003E34C2">
      <w:pPr>
        <w:pStyle w:val="Textonotapie"/>
        <w:rPr>
          <w:sz w:val="16"/>
          <w:szCs w:val="16"/>
        </w:rPr>
      </w:pPr>
      <w:r w:rsidRPr="007A3BFF">
        <w:rPr>
          <w:rStyle w:val="Refdenotaalpie"/>
          <w:sz w:val="16"/>
          <w:szCs w:val="16"/>
        </w:rPr>
        <w:footnoteRef/>
      </w:r>
      <w:r w:rsidRPr="007A3BFF">
        <w:rPr>
          <w:sz w:val="16"/>
          <w:szCs w:val="16"/>
        </w:rPr>
        <w:t xml:space="preserve"> </w:t>
      </w:r>
      <w:r w:rsidRPr="007A3BFF">
        <w:rPr>
          <w:sz w:val="16"/>
          <w:szCs w:val="16"/>
        </w:rPr>
        <w:tab/>
      </w:r>
      <w:r w:rsidRPr="007A3BFF">
        <w:rPr>
          <w:i/>
          <w:iCs/>
          <w:sz w:val="16"/>
          <w:szCs w:val="16"/>
        </w:rPr>
        <w:t xml:space="preserve">Cfr. </w:t>
      </w:r>
      <w:r w:rsidRPr="007A3BFF">
        <w:rPr>
          <w:color w:val="000000"/>
          <w:sz w:val="16"/>
          <w:szCs w:val="16"/>
        </w:rPr>
        <w:t xml:space="preserve">Resolución No.935/97 del Defensor del Pueblo de la Ciudad de Buenos Aires, de 23 de junio de 1997 </w:t>
      </w:r>
      <w:r w:rsidRPr="007A3BFF">
        <w:rPr>
          <w:sz w:val="16"/>
          <w:szCs w:val="16"/>
        </w:rPr>
        <w:t>(expediente de prueba, folio 4530).</w:t>
      </w:r>
    </w:p>
  </w:footnote>
  <w:footnote w:id="45">
    <w:p w14:paraId="7D0D33CF" w14:textId="77777777" w:rsidR="00997C54" w:rsidRPr="007A3BFF" w:rsidRDefault="00997C54" w:rsidP="003E34C2">
      <w:pPr>
        <w:pStyle w:val="Textonotapie"/>
        <w:rPr>
          <w:sz w:val="16"/>
          <w:szCs w:val="16"/>
        </w:rPr>
      </w:pPr>
      <w:r w:rsidRPr="007A3BFF">
        <w:rPr>
          <w:rStyle w:val="Refdenotaalpie"/>
          <w:sz w:val="16"/>
          <w:szCs w:val="16"/>
        </w:rPr>
        <w:footnoteRef/>
      </w:r>
      <w:r w:rsidRPr="007A3BFF">
        <w:rPr>
          <w:sz w:val="16"/>
          <w:szCs w:val="16"/>
        </w:rPr>
        <w:t xml:space="preserve"> </w:t>
      </w:r>
      <w:r w:rsidRPr="007A3BFF">
        <w:rPr>
          <w:sz w:val="16"/>
          <w:szCs w:val="16"/>
        </w:rPr>
        <w:tab/>
      </w:r>
      <w:r w:rsidRPr="007A3BFF">
        <w:rPr>
          <w:i/>
          <w:iCs/>
          <w:sz w:val="16"/>
          <w:szCs w:val="16"/>
        </w:rPr>
        <w:t xml:space="preserve">Cfr. </w:t>
      </w:r>
      <w:r w:rsidRPr="007A3BFF">
        <w:rPr>
          <w:color w:val="000000"/>
          <w:sz w:val="16"/>
          <w:szCs w:val="16"/>
        </w:rPr>
        <w:t xml:space="preserve">Resolución No.935/97 del Defensor del Pueblo de la Ciudad de Buenos Aires, de 23 de junio de 1997 </w:t>
      </w:r>
      <w:r w:rsidRPr="007A3BFF">
        <w:rPr>
          <w:sz w:val="16"/>
          <w:szCs w:val="16"/>
        </w:rPr>
        <w:t>(expediente de prueba, folio 4534).</w:t>
      </w:r>
    </w:p>
  </w:footnote>
  <w:footnote w:id="46">
    <w:p w14:paraId="7E8982CF" w14:textId="77777777" w:rsidR="00997C54" w:rsidRPr="007A3BFF" w:rsidRDefault="00997C54" w:rsidP="003E34C2">
      <w:pPr>
        <w:pStyle w:val="Textonotapie"/>
        <w:rPr>
          <w:sz w:val="16"/>
          <w:szCs w:val="16"/>
        </w:rPr>
      </w:pPr>
      <w:r w:rsidRPr="007A3BFF">
        <w:rPr>
          <w:rStyle w:val="Refdenotaalpie"/>
          <w:sz w:val="16"/>
          <w:szCs w:val="16"/>
        </w:rPr>
        <w:footnoteRef/>
      </w:r>
      <w:r w:rsidRPr="007A3BFF">
        <w:rPr>
          <w:sz w:val="16"/>
          <w:szCs w:val="16"/>
        </w:rPr>
        <w:t xml:space="preserve"> </w:t>
      </w:r>
      <w:r w:rsidRPr="007A3BFF">
        <w:rPr>
          <w:sz w:val="16"/>
          <w:szCs w:val="16"/>
        </w:rPr>
        <w:tab/>
      </w:r>
      <w:r w:rsidRPr="007A3BFF">
        <w:rPr>
          <w:i/>
          <w:iCs/>
          <w:sz w:val="16"/>
          <w:szCs w:val="16"/>
        </w:rPr>
        <w:t xml:space="preserve">Cfr. </w:t>
      </w:r>
      <w:r w:rsidRPr="007A3BFF">
        <w:rPr>
          <w:color w:val="000000"/>
          <w:sz w:val="16"/>
          <w:szCs w:val="16"/>
        </w:rPr>
        <w:t xml:space="preserve">Sentencia del Tribunal Oral en lo Criminal Federal No. 6 de la Capital Federal, de 23 de diciembre de 1997 </w:t>
      </w:r>
      <w:r w:rsidRPr="007A3BFF">
        <w:rPr>
          <w:sz w:val="16"/>
          <w:szCs w:val="16"/>
        </w:rPr>
        <w:t>(expediente de prueba, folio 4267).</w:t>
      </w:r>
    </w:p>
  </w:footnote>
  <w:footnote w:id="47">
    <w:p w14:paraId="7C6C2DB7" w14:textId="77777777" w:rsidR="00997C54" w:rsidRPr="007A3BFF" w:rsidRDefault="00997C54" w:rsidP="003E34C2">
      <w:pPr>
        <w:pStyle w:val="Textonotapie"/>
        <w:rPr>
          <w:sz w:val="16"/>
          <w:szCs w:val="16"/>
        </w:rPr>
      </w:pPr>
      <w:r w:rsidRPr="007A3BFF">
        <w:rPr>
          <w:rStyle w:val="Refdenotaalpie"/>
          <w:sz w:val="16"/>
          <w:szCs w:val="16"/>
        </w:rPr>
        <w:footnoteRef/>
      </w:r>
      <w:r w:rsidRPr="007A3BFF">
        <w:rPr>
          <w:sz w:val="16"/>
          <w:szCs w:val="16"/>
        </w:rPr>
        <w:t xml:space="preserve"> </w:t>
      </w:r>
      <w:r w:rsidRPr="007A3BFF">
        <w:rPr>
          <w:sz w:val="16"/>
          <w:szCs w:val="16"/>
        </w:rPr>
        <w:tab/>
      </w:r>
      <w:r w:rsidRPr="007A3BFF">
        <w:rPr>
          <w:i/>
          <w:iCs/>
          <w:sz w:val="16"/>
          <w:szCs w:val="16"/>
        </w:rPr>
        <w:t xml:space="preserve">Cfr. </w:t>
      </w:r>
      <w:r w:rsidRPr="007A3BFF">
        <w:rPr>
          <w:color w:val="000000"/>
          <w:sz w:val="16"/>
          <w:szCs w:val="16"/>
        </w:rPr>
        <w:t xml:space="preserve">Resolución respecto de la soltura del Sr. Jenkins, disponiendo su libertad inmediata, de 19 de noviembre de 1997 </w:t>
      </w:r>
      <w:r w:rsidRPr="007A3BFF">
        <w:rPr>
          <w:sz w:val="16"/>
          <w:szCs w:val="16"/>
        </w:rPr>
        <w:t>(expediente de prueba, folio 5875).</w:t>
      </w:r>
    </w:p>
  </w:footnote>
  <w:footnote w:id="48">
    <w:p w14:paraId="5D22C2AF" w14:textId="77777777" w:rsidR="00997C54" w:rsidRPr="007A3BFF" w:rsidRDefault="00997C54" w:rsidP="003E34C2">
      <w:pPr>
        <w:pStyle w:val="Textonotapie"/>
        <w:rPr>
          <w:sz w:val="16"/>
          <w:szCs w:val="16"/>
        </w:rPr>
      </w:pPr>
      <w:r w:rsidRPr="007A3BFF">
        <w:rPr>
          <w:rStyle w:val="Refdenotaalpie"/>
          <w:sz w:val="16"/>
          <w:szCs w:val="16"/>
        </w:rPr>
        <w:footnoteRef/>
      </w:r>
      <w:r w:rsidRPr="007A3BFF">
        <w:rPr>
          <w:sz w:val="16"/>
          <w:szCs w:val="16"/>
        </w:rPr>
        <w:t xml:space="preserve"> </w:t>
      </w:r>
      <w:r w:rsidRPr="007A3BFF">
        <w:rPr>
          <w:sz w:val="16"/>
          <w:szCs w:val="16"/>
        </w:rPr>
        <w:tab/>
      </w:r>
      <w:r w:rsidRPr="007A3BFF">
        <w:rPr>
          <w:i/>
          <w:iCs/>
          <w:sz w:val="16"/>
          <w:szCs w:val="16"/>
        </w:rPr>
        <w:t xml:space="preserve">Cfr. </w:t>
      </w:r>
      <w:r w:rsidRPr="007A3BFF">
        <w:rPr>
          <w:rFonts w:cs="TTE2C93658t00"/>
          <w:color w:val="010101"/>
          <w:sz w:val="16"/>
          <w:szCs w:val="16"/>
        </w:rPr>
        <w:t xml:space="preserve">Sentencia de la Corte Suprema de Justicia de la Nación en el caso Veliz, Linda Cristina s/ causa No. 5640, Recurso de Hecho, V. 210. XLI, de 15 de junio de 2010 </w:t>
      </w:r>
      <w:r w:rsidRPr="007A3BFF">
        <w:rPr>
          <w:sz w:val="16"/>
          <w:szCs w:val="16"/>
        </w:rPr>
        <w:t>(expediente de prueba, folios 5659 a 5661).</w:t>
      </w:r>
    </w:p>
  </w:footnote>
  <w:footnote w:id="49">
    <w:p w14:paraId="1993A17F" w14:textId="186D945E" w:rsidR="00997C54" w:rsidRPr="007A3BFF" w:rsidRDefault="00997C54" w:rsidP="003E34C2">
      <w:pPr>
        <w:pStyle w:val="Textonotapie"/>
        <w:rPr>
          <w:sz w:val="16"/>
          <w:szCs w:val="16"/>
        </w:rPr>
      </w:pPr>
      <w:r w:rsidRPr="007A3BFF">
        <w:rPr>
          <w:rStyle w:val="Refdenotaalpie"/>
          <w:sz w:val="16"/>
          <w:szCs w:val="16"/>
        </w:rPr>
        <w:footnoteRef/>
      </w:r>
      <w:r w:rsidRPr="007A3BFF">
        <w:rPr>
          <w:sz w:val="16"/>
          <w:szCs w:val="16"/>
        </w:rPr>
        <w:t xml:space="preserve"> </w:t>
      </w:r>
      <w:r w:rsidRPr="007A3BFF">
        <w:rPr>
          <w:sz w:val="16"/>
          <w:szCs w:val="16"/>
        </w:rPr>
        <w:tab/>
      </w:r>
      <w:r w:rsidRPr="007A3BFF">
        <w:rPr>
          <w:i/>
          <w:iCs/>
          <w:sz w:val="16"/>
          <w:szCs w:val="16"/>
        </w:rPr>
        <w:t xml:space="preserve">Cfr. </w:t>
      </w:r>
      <w:r w:rsidRPr="007A3BFF">
        <w:rPr>
          <w:rFonts w:eastAsiaTheme="minorHAnsi"/>
          <w:sz w:val="16"/>
          <w:szCs w:val="16"/>
          <w:lang w:eastAsia="en-US"/>
        </w:rPr>
        <w:t xml:space="preserve">Demanda por daños </w:t>
      </w:r>
      <w:r w:rsidRPr="007A3BFF">
        <w:rPr>
          <w:rFonts w:eastAsiaTheme="minorHAnsi" w:cs="Arial"/>
          <w:iCs/>
          <w:sz w:val="16"/>
          <w:szCs w:val="16"/>
          <w:lang w:eastAsia="en-US"/>
        </w:rPr>
        <w:t xml:space="preserve">y </w:t>
      </w:r>
      <w:r w:rsidRPr="007A3BFF">
        <w:rPr>
          <w:rFonts w:eastAsiaTheme="minorHAnsi"/>
          <w:sz w:val="16"/>
          <w:szCs w:val="16"/>
          <w:lang w:eastAsia="en-US"/>
        </w:rPr>
        <w:t xml:space="preserve">perjuicios interpuesta por el señor Jenkins contra el Estado </w:t>
      </w:r>
      <w:r w:rsidRPr="007A3BFF">
        <w:rPr>
          <w:rFonts w:eastAsiaTheme="minorHAnsi" w:cs="Arial"/>
          <w:sz w:val="16"/>
          <w:szCs w:val="16"/>
          <w:lang w:eastAsia="en-US"/>
        </w:rPr>
        <w:t xml:space="preserve">y </w:t>
      </w:r>
      <w:r w:rsidRPr="007A3BFF">
        <w:rPr>
          <w:rFonts w:eastAsiaTheme="minorHAnsi"/>
          <w:sz w:val="16"/>
          <w:szCs w:val="16"/>
          <w:lang w:eastAsia="en-US"/>
        </w:rPr>
        <w:t xml:space="preserve">contra el juez que ordenó su detención, de 27 diciembre de 1999 </w:t>
      </w:r>
      <w:r w:rsidRPr="007A3BFF">
        <w:rPr>
          <w:sz w:val="16"/>
          <w:szCs w:val="16"/>
        </w:rPr>
        <w:t>(expediente de prueba, folios 4820 a 4836).</w:t>
      </w:r>
    </w:p>
  </w:footnote>
  <w:footnote w:id="50">
    <w:p w14:paraId="4FA74A85" w14:textId="77777777" w:rsidR="00997C54" w:rsidRPr="007A3BFF" w:rsidRDefault="00997C54" w:rsidP="003E34C2">
      <w:pPr>
        <w:pStyle w:val="Textonotapie"/>
        <w:rPr>
          <w:sz w:val="16"/>
          <w:szCs w:val="16"/>
        </w:rPr>
      </w:pPr>
      <w:r w:rsidRPr="007A3BFF">
        <w:rPr>
          <w:rStyle w:val="Refdenotaalpie"/>
          <w:sz w:val="16"/>
          <w:szCs w:val="16"/>
        </w:rPr>
        <w:footnoteRef/>
      </w:r>
      <w:r w:rsidRPr="007A3BFF">
        <w:rPr>
          <w:sz w:val="16"/>
          <w:szCs w:val="16"/>
        </w:rPr>
        <w:t xml:space="preserve"> </w:t>
      </w:r>
      <w:r w:rsidRPr="007A3BFF">
        <w:rPr>
          <w:sz w:val="16"/>
          <w:szCs w:val="16"/>
        </w:rPr>
        <w:tab/>
      </w:r>
      <w:r w:rsidRPr="007A3BFF">
        <w:rPr>
          <w:i/>
          <w:iCs/>
          <w:sz w:val="16"/>
          <w:szCs w:val="16"/>
        </w:rPr>
        <w:t xml:space="preserve">Cfr. </w:t>
      </w:r>
      <w:r w:rsidRPr="007A3BFF">
        <w:rPr>
          <w:sz w:val="16"/>
          <w:szCs w:val="16"/>
        </w:rPr>
        <w:t>Decisión del Juzgado Contencioso Administrativo Federal No. 10, de 8 de junio de 2000 (expediente de prueba, folio 4660).</w:t>
      </w:r>
    </w:p>
  </w:footnote>
  <w:footnote w:id="51">
    <w:p w14:paraId="5FE2B1CC" w14:textId="77777777" w:rsidR="00997C54" w:rsidRPr="007A3BFF" w:rsidRDefault="00997C54" w:rsidP="003E34C2">
      <w:pPr>
        <w:pStyle w:val="Textonotapie"/>
        <w:rPr>
          <w:sz w:val="16"/>
          <w:szCs w:val="16"/>
        </w:rPr>
      </w:pPr>
      <w:r w:rsidRPr="007A3BFF">
        <w:rPr>
          <w:rStyle w:val="Refdenotaalpie"/>
          <w:sz w:val="16"/>
          <w:szCs w:val="16"/>
        </w:rPr>
        <w:footnoteRef/>
      </w:r>
      <w:r w:rsidRPr="007A3BFF">
        <w:rPr>
          <w:sz w:val="16"/>
          <w:szCs w:val="16"/>
        </w:rPr>
        <w:t xml:space="preserve"> </w:t>
      </w:r>
      <w:r w:rsidRPr="007A3BFF">
        <w:rPr>
          <w:sz w:val="16"/>
          <w:szCs w:val="16"/>
        </w:rPr>
        <w:tab/>
      </w:r>
      <w:r w:rsidRPr="007A3BFF">
        <w:rPr>
          <w:i/>
          <w:iCs/>
          <w:sz w:val="16"/>
          <w:szCs w:val="16"/>
        </w:rPr>
        <w:t xml:space="preserve">Cfr. </w:t>
      </w:r>
      <w:r w:rsidRPr="007A3BFF">
        <w:rPr>
          <w:sz w:val="16"/>
          <w:szCs w:val="16"/>
        </w:rPr>
        <w:t>Decisión del Juzgado Contencioso Administrativo Federal No. 10, de 8 de junio de 2000 (expediente de prueba, folios 4658 a 4660).</w:t>
      </w:r>
    </w:p>
  </w:footnote>
  <w:footnote w:id="52">
    <w:p w14:paraId="16CBC504" w14:textId="3B71CE09" w:rsidR="00997C54" w:rsidRPr="007A3BFF" w:rsidRDefault="00997C54" w:rsidP="003E34C2">
      <w:pPr>
        <w:pStyle w:val="Textonotapie"/>
        <w:rPr>
          <w:sz w:val="16"/>
          <w:szCs w:val="16"/>
        </w:rPr>
      </w:pPr>
      <w:r w:rsidRPr="007A3BFF">
        <w:rPr>
          <w:rStyle w:val="Refdenotaalpie"/>
          <w:sz w:val="16"/>
          <w:szCs w:val="16"/>
        </w:rPr>
        <w:footnoteRef/>
      </w:r>
      <w:r w:rsidRPr="007A3BFF">
        <w:rPr>
          <w:sz w:val="16"/>
          <w:szCs w:val="16"/>
        </w:rPr>
        <w:t xml:space="preserve"> </w:t>
      </w:r>
      <w:r w:rsidRPr="007A3BFF">
        <w:rPr>
          <w:sz w:val="16"/>
          <w:szCs w:val="16"/>
        </w:rPr>
        <w:tab/>
      </w:r>
      <w:r w:rsidRPr="007A3BFF">
        <w:rPr>
          <w:i/>
          <w:iCs/>
          <w:sz w:val="16"/>
          <w:szCs w:val="16"/>
        </w:rPr>
        <w:t xml:space="preserve">Cfr. </w:t>
      </w:r>
      <w:r w:rsidRPr="007A3BFF">
        <w:rPr>
          <w:sz w:val="16"/>
          <w:szCs w:val="16"/>
        </w:rPr>
        <w:t>Sentencia del Juzgado Contencioso Administrativo Federal No. 10 rechazando la demanda interpuesta de daños y perjuicios por el Sr. Jenkins, de 30 de abril de 2007 (expediente de prueba, folios 5741 a 5742).</w:t>
      </w:r>
    </w:p>
  </w:footnote>
  <w:footnote w:id="53">
    <w:p w14:paraId="2251DF21" w14:textId="21E23475" w:rsidR="00997C54" w:rsidRPr="007A3BFF" w:rsidRDefault="00997C54" w:rsidP="003E34C2">
      <w:pPr>
        <w:pStyle w:val="Textonotapie"/>
        <w:rPr>
          <w:sz w:val="16"/>
          <w:szCs w:val="16"/>
        </w:rPr>
      </w:pPr>
      <w:r w:rsidRPr="007A3BFF">
        <w:rPr>
          <w:rStyle w:val="Refdenotaalpie"/>
          <w:sz w:val="16"/>
          <w:szCs w:val="16"/>
        </w:rPr>
        <w:footnoteRef/>
      </w:r>
      <w:r w:rsidRPr="007A3BFF">
        <w:rPr>
          <w:sz w:val="16"/>
          <w:szCs w:val="16"/>
        </w:rPr>
        <w:t xml:space="preserve"> </w:t>
      </w:r>
      <w:r w:rsidRPr="007A3BFF">
        <w:rPr>
          <w:sz w:val="16"/>
          <w:szCs w:val="16"/>
        </w:rPr>
        <w:tab/>
        <w:t>El señor Jenkins argumentó que (i) en la causa penal seguida en su contra el juez instructor y los fiscales utilizaron una prueba inexistente para decretar su prisión prev</w:t>
      </w:r>
      <w:r>
        <w:rPr>
          <w:sz w:val="16"/>
          <w:szCs w:val="16"/>
        </w:rPr>
        <w:t>entiva y elevarlo a juicio oral,</w:t>
      </w:r>
      <w:r w:rsidRPr="007A3BFF">
        <w:rPr>
          <w:sz w:val="16"/>
          <w:szCs w:val="16"/>
        </w:rPr>
        <w:t xml:space="preserve"> (ii) que la sentencia del Tribunal Oral en lo Criminal Federal No. 6 ordena investigar un probable delito, que se vuel</w:t>
      </w:r>
      <w:r>
        <w:rPr>
          <w:sz w:val="16"/>
          <w:szCs w:val="16"/>
        </w:rPr>
        <w:t>ve a encubrir y no se investiga;</w:t>
      </w:r>
      <w:r w:rsidRPr="007A3BFF">
        <w:rPr>
          <w:sz w:val="16"/>
          <w:szCs w:val="16"/>
        </w:rPr>
        <w:t xml:space="preserve"> (iii) que se le vulneró el principio de inocencia debido al tiempo en que permaneció detenido, al haberse anticipado una pena a la sentencia, con el agravante de que el Estado incurrió en un grosero error judicial y administrativo; (iv) que su sometimiento a prisión preventiva por más de dos años constituyó una condena ilegítima que debe ser resarcida; (v) y que, por aplicación de la excepción prevista por el artículo 46.2.c) de la Convención Americana sobre Derechos Humanos, la defensa del Estado Nacional había agotado la posibilidad de defensa y todo el proceso de jurisdicción interna debía ser conducido sobre la cabeza de quien tiene la facultad de </w:t>
      </w:r>
      <w:r w:rsidRPr="007A3BFF">
        <w:rPr>
          <w:i/>
          <w:sz w:val="16"/>
          <w:szCs w:val="16"/>
        </w:rPr>
        <w:t xml:space="preserve">iuris </w:t>
      </w:r>
      <w:proofErr w:type="spellStart"/>
      <w:r w:rsidRPr="007A3BFF">
        <w:rPr>
          <w:i/>
          <w:sz w:val="16"/>
          <w:szCs w:val="16"/>
        </w:rPr>
        <w:t>dictio</w:t>
      </w:r>
      <w:proofErr w:type="spellEnd"/>
      <w:r w:rsidRPr="007A3BFF">
        <w:rPr>
          <w:sz w:val="16"/>
          <w:szCs w:val="16"/>
        </w:rPr>
        <w:t xml:space="preserve"> por parte del Estado Nacional. </w:t>
      </w:r>
      <w:r w:rsidRPr="007A3BFF">
        <w:rPr>
          <w:i/>
          <w:iCs/>
          <w:sz w:val="16"/>
          <w:szCs w:val="16"/>
        </w:rPr>
        <w:t xml:space="preserve">Cfr. </w:t>
      </w:r>
      <w:r w:rsidRPr="007A3BFF">
        <w:rPr>
          <w:sz w:val="16"/>
          <w:szCs w:val="16"/>
        </w:rPr>
        <w:t>Sentencia de la Sala III de la Cámara Nacional de Apelaciones en lo contencioso administrativo Federal, de 25 de marzo de 2008 (expediente de prueba, folio 4664).</w:t>
      </w:r>
    </w:p>
  </w:footnote>
  <w:footnote w:id="54">
    <w:p w14:paraId="39E9C310" w14:textId="6E0DF7CF" w:rsidR="00997C54" w:rsidRPr="007A3BFF" w:rsidRDefault="00997C54" w:rsidP="003E34C2">
      <w:pPr>
        <w:pStyle w:val="Textonotapie"/>
        <w:rPr>
          <w:sz w:val="16"/>
          <w:szCs w:val="16"/>
        </w:rPr>
      </w:pPr>
      <w:r w:rsidRPr="007A3BFF">
        <w:rPr>
          <w:rStyle w:val="Refdenotaalpie"/>
          <w:sz w:val="16"/>
          <w:szCs w:val="16"/>
        </w:rPr>
        <w:footnoteRef/>
      </w:r>
      <w:r w:rsidRPr="007A3BFF">
        <w:rPr>
          <w:sz w:val="16"/>
          <w:szCs w:val="16"/>
        </w:rPr>
        <w:t xml:space="preserve"> </w:t>
      </w:r>
      <w:r w:rsidRPr="007A3BFF">
        <w:rPr>
          <w:sz w:val="16"/>
          <w:szCs w:val="16"/>
        </w:rPr>
        <w:tab/>
      </w:r>
      <w:r w:rsidRPr="007A3BFF">
        <w:rPr>
          <w:i/>
          <w:iCs/>
          <w:sz w:val="16"/>
          <w:szCs w:val="16"/>
        </w:rPr>
        <w:t xml:space="preserve">Cfr. </w:t>
      </w:r>
      <w:r w:rsidRPr="007A3BFF">
        <w:rPr>
          <w:sz w:val="16"/>
          <w:szCs w:val="16"/>
        </w:rPr>
        <w:t>Sentencia de la Sala III de la Cámara Nacional de Apelaciones en lo contencioso administrativo Federal, de 25 de marzo de 2008 (exped</w:t>
      </w:r>
      <w:r>
        <w:rPr>
          <w:sz w:val="16"/>
          <w:szCs w:val="16"/>
        </w:rPr>
        <w:t>iente de prueba, folios 4668 a 4</w:t>
      </w:r>
      <w:r w:rsidRPr="007A3BFF">
        <w:rPr>
          <w:sz w:val="16"/>
          <w:szCs w:val="16"/>
        </w:rPr>
        <w:t>669).</w:t>
      </w:r>
    </w:p>
  </w:footnote>
  <w:footnote w:id="55">
    <w:p w14:paraId="57ED20FE" w14:textId="54A4F3CD" w:rsidR="00997C54" w:rsidRPr="007A3BFF" w:rsidRDefault="00997C54" w:rsidP="003E34C2">
      <w:pPr>
        <w:pStyle w:val="Textonotapie"/>
        <w:rPr>
          <w:sz w:val="16"/>
          <w:szCs w:val="16"/>
        </w:rPr>
      </w:pPr>
      <w:r w:rsidRPr="007A3BFF">
        <w:rPr>
          <w:rStyle w:val="Refdenotaalpie"/>
          <w:sz w:val="16"/>
          <w:szCs w:val="16"/>
        </w:rPr>
        <w:footnoteRef/>
      </w:r>
      <w:r w:rsidRPr="007A3BFF">
        <w:rPr>
          <w:sz w:val="16"/>
          <w:szCs w:val="16"/>
        </w:rPr>
        <w:t xml:space="preserve"> </w:t>
      </w:r>
      <w:r w:rsidRPr="007A3BFF">
        <w:rPr>
          <w:sz w:val="16"/>
          <w:szCs w:val="16"/>
        </w:rPr>
        <w:tab/>
      </w:r>
      <w:r w:rsidRPr="007A3BFF">
        <w:rPr>
          <w:i/>
          <w:iCs/>
          <w:sz w:val="16"/>
          <w:szCs w:val="16"/>
        </w:rPr>
        <w:t xml:space="preserve">Cfr. </w:t>
      </w:r>
      <w:r w:rsidRPr="007A3BFF">
        <w:rPr>
          <w:sz w:val="16"/>
          <w:szCs w:val="16"/>
        </w:rPr>
        <w:t>Sentencia de la Sala III de la Cámara Nacional de Apelaciones en lo contencioso administrativo Federal, de 25 de marzo de 2008 (expediente de prueba, folios 4674 y 4675).</w:t>
      </w:r>
    </w:p>
  </w:footnote>
  <w:footnote w:id="56">
    <w:p w14:paraId="3F17847E" w14:textId="53F0710C" w:rsidR="00997C54" w:rsidRPr="007A3BFF" w:rsidRDefault="00997C54" w:rsidP="003E34C2">
      <w:pPr>
        <w:pStyle w:val="Textonotapie"/>
        <w:rPr>
          <w:sz w:val="16"/>
          <w:szCs w:val="16"/>
        </w:rPr>
      </w:pPr>
      <w:r w:rsidRPr="007A3BFF">
        <w:rPr>
          <w:rStyle w:val="Refdenotaalpie"/>
          <w:sz w:val="16"/>
          <w:szCs w:val="16"/>
        </w:rPr>
        <w:footnoteRef/>
      </w:r>
      <w:r w:rsidRPr="007A3BFF">
        <w:rPr>
          <w:sz w:val="16"/>
          <w:szCs w:val="16"/>
        </w:rPr>
        <w:t xml:space="preserve"> </w:t>
      </w:r>
      <w:r w:rsidRPr="007A3BFF">
        <w:rPr>
          <w:sz w:val="16"/>
          <w:szCs w:val="16"/>
        </w:rPr>
        <w:tab/>
      </w:r>
      <w:r w:rsidRPr="007A3BFF">
        <w:rPr>
          <w:i/>
          <w:iCs/>
          <w:sz w:val="16"/>
          <w:szCs w:val="16"/>
        </w:rPr>
        <w:t xml:space="preserve">Cfr. </w:t>
      </w:r>
      <w:r w:rsidRPr="007A3BFF">
        <w:rPr>
          <w:sz w:val="16"/>
          <w:szCs w:val="16"/>
        </w:rPr>
        <w:t>Sentencia de la Sala III de la Cámara Nacional de Apelaciones en lo contencioso administrativo Federal, de 25 de marzo de 2008 (expediente de prueba, folios 4677 y 4678).</w:t>
      </w:r>
    </w:p>
  </w:footnote>
  <w:footnote w:id="57">
    <w:p w14:paraId="0442B5E9" w14:textId="77777777" w:rsidR="00997C54" w:rsidRPr="007A3BFF" w:rsidRDefault="00997C54" w:rsidP="003E34C2">
      <w:pPr>
        <w:pStyle w:val="Textonotapie"/>
        <w:rPr>
          <w:sz w:val="16"/>
          <w:szCs w:val="16"/>
        </w:rPr>
      </w:pPr>
      <w:r w:rsidRPr="007A3BFF">
        <w:rPr>
          <w:rStyle w:val="Refdenotaalpie"/>
          <w:sz w:val="16"/>
          <w:szCs w:val="16"/>
        </w:rPr>
        <w:footnoteRef/>
      </w:r>
      <w:r w:rsidRPr="007A3BFF">
        <w:rPr>
          <w:sz w:val="16"/>
          <w:szCs w:val="16"/>
        </w:rPr>
        <w:tab/>
      </w:r>
      <w:r w:rsidRPr="007A3BFF">
        <w:rPr>
          <w:i/>
          <w:iCs/>
          <w:sz w:val="16"/>
          <w:szCs w:val="16"/>
        </w:rPr>
        <w:t xml:space="preserve">Cfr. </w:t>
      </w:r>
      <w:r w:rsidRPr="007A3BFF">
        <w:rPr>
          <w:sz w:val="16"/>
          <w:szCs w:val="16"/>
        </w:rPr>
        <w:t>Decisión de Corte Suprema de Justicia de la Nación, de 17 de marzo de 2009 (expediente de prueba, folio 4684 a 4686).</w:t>
      </w:r>
    </w:p>
  </w:footnote>
  <w:footnote w:id="58">
    <w:p w14:paraId="0E4960D9" w14:textId="77777777" w:rsidR="00997C54" w:rsidRPr="007A3BFF" w:rsidRDefault="00997C54" w:rsidP="003E34C2">
      <w:pPr>
        <w:pStyle w:val="Textonotapie"/>
        <w:rPr>
          <w:sz w:val="16"/>
          <w:szCs w:val="16"/>
        </w:rPr>
      </w:pPr>
      <w:r w:rsidRPr="007A3BFF">
        <w:rPr>
          <w:rStyle w:val="Refdenotaalpie"/>
          <w:sz w:val="16"/>
          <w:szCs w:val="16"/>
        </w:rPr>
        <w:footnoteRef/>
      </w:r>
      <w:r w:rsidRPr="007A3BFF">
        <w:rPr>
          <w:sz w:val="16"/>
          <w:szCs w:val="16"/>
        </w:rPr>
        <w:t xml:space="preserve"> </w:t>
      </w:r>
      <w:r w:rsidRPr="007A3BFF">
        <w:rPr>
          <w:sz w:val="16"/>
          <w:szCs w:val="16"/>
        </w:rPr>
        <w:tab/>
        <w:t>Artículos 7 y 8 de la Convención Americana.</w:t>
      </w:r>
    </w:p>
  </w:footnote>
  <w:footnote w:id="59">
    <w:p w14:paraId="301516F6" w14:textId="2326DEA0" w:rsidR="00997C54" w:rsidRPr="007A3BFF" w:rsidRDefault="00997C54" w:rsidP="003E34C2">
      <w:pPr>
        <w:pStyle w:val="Textonotapie"/>
        <w:rPr>
          <w:sz w:val="16"/>
          <w:szCs w:val="16"/>
        </w:rPr>
      </w:pPr>
      <w:r w:rsidRPr="007A3BFF">
        <w:rPr>
          <w:rStyle w:val="Refdenotaalpie"/>
          <w:sz w:val="16"/>
          <w:szCs w:val="16"/>
        </w:rPr>
        <w:footnoteRef/>
      </w:r>
      <w:r w:rsidRPr="007A3BFF">
        <w:rPr>
          <w:sz w:val="16"/>
          <w:szCs w:val="16"/>
        </w:rPr>
        <w:t xml:space="preserve"> </w:t>
      </w:r>
      <w:r w:rsidRPr="007A3BFF">
        <w:rPr>
          <w:sz w:val="16"/>
          <w:szCs w:val="16"/>
        </w:rPr>
        <w:tab/>
      </w:r>
      <w:r w:rsidRPr="007A3BFF">
        <w:rPr>
          <w:i/>
          <w:sz w:val="16"/>
          <w:szCs w:val="16"/>
        </w:rPr>
        <w:t>Cfr. Caso "Instituto de Reeducación del Menor" Vs. Paraguay. Excepciones Preliminares, Fondo, Reparaciones y Costas</w:t>
      </w:r>
      <w:r w:rsidRPr="007A3BFF">
        <w:rPr>
          <w:sz w:val="16"/>
          <w:szCs w:val="16"/>
        </w:rPr>
        <w:t>. Sentencia de 2 de septiembre de 20</w:t>
      </w:r>
      <w:r>
        <w:rPr>
          <w:sz w:val="16"/>
          <w:szCs w:val="16"/>
        </w:rPr>
        <w:t xml:space="preserve">04. Serie C No. 112, párr. 223, </w:t>
      </w:r>
      <w:r w:rsidRPr="00CA78C6">
        <w:rPr>
          <w:iCs/>
          <w:sz w:val="16"/>
          <w:szCs w:val="16"/>
        </w:rPr>
        <w:t>y</w:t>
      </w:r>
      <w:r w:rsidRPr="007A3BFF">
        <w:rPr>
          <w:i/>
          <w:iCs/>
          <w:sz w:val="16"/>
          <w:szCs w:val="16"/>
        </w:rPr>
        <w:t xml:space="preserve"> </w:t>
      </w:r>
      <w:r w:rsidRPr="00BE6554">
        <w:rPr>
          <w:i/>
          <w:iCs/>
          <w:sz w:val="16"/>
          <w:szCs w:val="16"/>
        </w:rPr>
        <w:t xml:space="preserve">Caso Yarce y otras Vs. Colombia. Excepción Preliminar, Fondo, Reparaciones y Costas. </w:t>
      </w:r>
      <w:r w:rsidRPr="00BE6554">
        <w:rPr>
          <w:iCs/>
          <w:sz w:val="16"/>
          <w:szCs w:val="16"/>
        </w:rPr>
        <w:t>Sentencia de 22 de noviembre de 2016. Serie C No. 325</w:t>
      </w:r>
      <w:r w:rsidRPr="00CA78C6">
        <w:rPr>
          <w:iCs/>
          <w:sz w:val="16"/>
          <w:szCs w:val="16"/>
        </w:rPr>
        <w:t xml:space="preserve">, </w:t>
      </w:r>
      <w:r w:rsidRPr="007A3BFF">
        <w:rPr>
          <w:iCs/>
          <w:sz w:val="16"/>
          <w:szCs w:val="16"/>
        </w:rPr>
        <w:t xml:space="preserve">párr. </w:t>
      </w:r>
      <w:r>
        <w:rPr>
          <w:iCs/>
          <w:sz w:val="16"/>
          <w:szCs w:val="16"/>
        </w:rPr>
        <w:t>138</w:t>
      </w:r>
      <w:r w:rsidRPr="007A3BFF">
        <w:rPr>
          <w:iCs/>
          <w:sz w:val="16"/>
          <w:szCs w:val="16"/>
        </w:rPr>
        <w:t>.</w:t>
      </w:r>
    </w:p>
  </w:footnote>
  <w:footnote w:id="60">
    <w:p w14:paraId="341EA2B3" w14:textId="571066CC" w:rsidR="00997C54" w:rsidRPr="007A3BFF" w:rsidRDefault="00997C54" w:rsidP="003E34C2">
      <w:pPr>
        <w:pStyle w:val="Textonotapie"/>
        <w:rPr>
          <w:iCs/>
          <w:sz w:val="16"/>
          <w:szCs w:val="16"/>
        </w:rPr>
      </w:pPr>
      <w:r w:rsidRPr="007A3BFF">
        <w:rPr>
          <w:iCs/>
          <w:sz w:val="16"/>
          <w:szCs w:val="16"/>
          <w:vertAlign w:val="superscript"/>
        </w:rPr>
        <w:footnoteRef/>
      </w:r>
      <w:r w:rsidRPr="007A3BFF">
        <w:rPr>
          <w:i/>
          <w:sz w:val="16"/>
          <w:szCs w:val="16"/>
        </w:rPr>
        <w:t xml:space="preserve"> </w:t>
      </w:r>
      <w:r w:rsidRPr="007A3BFF">
        <w:rPr>
          <w:i/>
          <w:sz w:val="16"/>
          <w:szCs w:val="16"/>
        </w:rPr>
        <w:tab/>
      </w:r>
      <w:r w:rsidRPr="007A3BFF">
        <w:rPr>
          <w:i/>
          <w:iCs/>
          <w:sz w:val="16"/>
          <w:szCs w:val="16"/>
        </w:rPr>
        <w:t xml:space="preserve">Cfr. </w:t>
      </w:r>
      <w:r w:rsidRPr="00CA78C6">
        <w:rPr>
          <w:i/>
          <w:iCs/>
          <w:sz w:val="16"/>
          <w:szCs w:val="16"/>
        </w:rPr>
        <w:t xml:space="preserve">Caso Chaparro Álvarez y Lapo Íñiguez Vs. Ecuador. Excepciones Preliminares, Fondo, Reparaciones y Costas. </w:t>
      </w:r>
      <w:r w:rsidRPr="00CA78C6">
        <w:rPr>
          <w:iCs/>
          <w:sz w:val="16"/>
          <w:szCs w:val="16"/>
        </w:rPr>
        <w:t xml:space="preserve">Sentencia de 21 de noviembre de 2007. Serie C No. 170, párr. </w:t>
      </w:r>
      <w:r>
        <w:rPr>
          <w:iCs/>
          <w:sz w:val="16"/>
          <w:szCs w:val="16"/>
        </w:rPr>
        <w:t>51.</w:t>
      </w:r>
    </w:p>
  </w:footnote>
  <w:footnote w:id="61">
    <w:p w14:paraId="165483DF" w14:textId="1FA86108" w:rsidR="00997C54" w:rsidRPr="007A3BFF" w:rsidRDefault="00997C54" w:rsidP="003E34C2">
      <w:pPr>
        <w:pStyle w:val="Textonotapie"/>
        <w:rPr>
          <w:iCs/>
          <w:sz w:val="16"/>
          <w:szCs w:val="16"/>
        </w:rPr>
      </w:pPr>
      <w:r w:rsidRPr="007A3BFF">
        <w:rPr>
          <w:iCs/>
          <w:sz w:val="16"/>
          <w:szCs w:val="16"/>
          <w:vertAlign w:val="superscript"/>
        </w:rPr>
        <w:footnoteRef/>
      </w:r>
      <w:r w:rsidRPr="007A3BFF">
        <w:rPr>
          <w:i/>
          <w:iCs/>
          <w:sz w:val="16"/>
          <w:szCs w:val="16"/>
        </w:rPr>
        <w:t xml:space="preserve"> </w:t>
      </w:r>
      <w:r w:rsidRPr="007A3BFF">
        <w:rPr>
          <w:i/>
          <w:iCs/>
          <w:sz w:val="16"/>
          <w:szCs w:val="16"/>
        </w:rPr>
        <w:tab/>
        <w:t>Cfr. Caso Chaparro Álvarez y Lapo Íñiguez Vs. Ecuador</w:t>
      </w:r>
      <w:r>
        <w:rPr>
          <w:i/>
          <w:iCs/>
          <w:sz w:val="16"/>
          <w:szCs w:val="16"/>
        </w:rPr>
        <w:t>, supra</w:t>
      </w:r>
      <w:r w:rsidRPr="007A3BFF">
        <w:rPr>
          <w:iCs/>
          <w:sz w:val="16"/>
          <w:szCs w:val="16"/>
        </w:rPr>
        <w:t>, párr. 54, y</w:t>
      </w:r>
      <w:r w:rsidRPr="007A3BFF">
        <w:rPr>
          <w:i/>
          <w:iCs/>
          <w:sz w:val="16"/>
          <w:szCs w:val="16"/>
        </w:rPr>
        <w:t xml:space="preserve"> J. Vs. Perú. Excepción Preliminar, Fondo, Reparaciones y Costas. </w:t>
      </w:r>
      <w:r w:rsidRPr="00CA78C6">
        <w:rPr>
          <w:iCs/>
          <w:sz w:val="16"/>
          <w:szCs w:val="16"/>
        </w:rPr>
        <w:t>Sentencia de 27 de noviembre de 2013</w:t>
      </w:r>
      <w:r w:rsidRPr="007A3BFF">
        <w:rPr>
          <w:i/>
          <w:iCs/>
          <w:sz w:val="16"/>
          <w:szCs w:val="16"/>
        </w:rPr>
        <w:t xml:space="preserve">. </w:t>
      </w:r>
      <w:r w:rsidRPr="007A3BFF">
        <w:rPr>
          <w:iCs/>
          <w:sz w:val="16"/>
          <w:szCs w:val="16"/>
        </w:rPr>
        <w:t>Serie C No. 275, párr. 125.</w:t>
      </w:r>
    </w:p>
  </w:footnote>
  <w:footnote w:id="62">
    <w:p w14:paraId="4353C97E" w14:textId="0FD2F9BD" w:rsidR="00997C54" w:rsidRPr="007A3BFF" w:rsidRDefault="00997C54" w:rsidP="003E34C2">
      <w:pPr>
        <w:pStyle w:val="Textonotapie"/>
        <w:rPr>
          <w:i/>
          <w:iCs/>
          <w:sz w:val="16"/>
          <w:szCs w:val="16"/>
        </w:rPr>
      </w:pPr>
      <w:r w:rsidRPr="007A3BFF">
        <w:rPr>
          <w:iCs/>
          <w:sz w:val="16"/>
          <w:szCs w:val="16"/>
          <w:vertAlign w:val="superscript"/>
        </w:rPr>
        <w:footnoteRef/>
      </w:r>
      <w:r w:rsidRPr="007A3BFF">
        <w:rPr>
          <w:iCs/>
          <w:sz w:val="16"/>
          <w:szCs w:val="16"/>
          <w:vertAlign w:val="superscript"/>
        </w:rPr>
        <w:t xml:space="preserve"> </w:t>
      </w:r>
      <w:r w:rsidRPr="007A3BFF">
        <w:rPr>
          <w:i/>
          <w:iCs/>
          <w:sz w:val="16"/>
          <w:szCs w:val="16"/>
        </w:rPr>
        <w:tab/>
        <w:t xml:space="preserve">Cfr. Caso Tibi Vs. Ecuador, Excepciones Preliminares, Fondo, Reparaciones y Costas. </w:t>
      </w:r>
      <w:r w:rsidRPr="007A3BFF">
        <w:rPr>
          <w:iCs/>
          <w:sz w:val="16"/>
          <w:szCs w:val="16"/>
        </w:rPr>
        <w:t>Sentencia de 7 de septiembre de 2004.</w:t>
      </w:r>
      <w:r w:rsidRPr="007A3BFF">
        <w:rPr>
          <w:i/>
          <w:iCs/>
          <w:sz w:val="16"/>
          <w:szCs w:val="16"/>
        </w:rPr>
        <w:t xml:space="preserve"> </w:t>
      </w:r>
      <w:r w:rsidRPr="007A3BFF">
        <w:rPr>
          <w:iCs/>
          <w:sz w:val="16"/>
          <w:szCs w:val="16"/>
        </w:rPr>
        <w:t>Serie C No. 114, párr. 106, y</w:t>
      </w:r>
      <w:r w:rsidRPr="007A3BFF">
        <w:rPr>
          <w:i/>
          <w:iCs/>
          <w:sz w:val="16"/>
          <w:szCs w:val="16"/>
        </w:rPr>
        <w:t xml:space="preserve"> Caso Herrera Espinoza y otros Vs. Ecuador. Excepciones Preliminares, Fondo, Reparaciones y Costa</w:t>
      </w:r>
      <w:r>
        <w:rPr>
          <w:i/>
          <w:iCs/>
          <w:sz w:val="16"/>
          <w:szCs w:val="16"/>
        </w:rPr>
        <w:t>s</w:t>
      </w:r>
      <w:r w:rsidRPr="007A3BFF">
        <w:rPr>
          <w:i/>
          <w:iCs/>
          <w:sz w:val="16"/>
          <w:szCs w:val="16"/>
        </w:rPr>
        <w:t xml:space="preserve">. </w:t>
      </w:r>
      <w:r w:rsidRPr="007A3BFF">
        <w:rPr>
          <w:iCs/>
          <w:sz w:val="16"/>
          <w:szCs w:val="16"/>
        </w:rPr>
        <w:t>Sentencia de 1 de septiembre de 2016. Serie C No. 316, párr. 143.</w:t>
      </w:r>
    </w:p>
  </w:footnote>
  <w:footnote w:id="63">
    <w:p w14:paraId="0065CB8E" w14:textId="62C559C9" w:rsidR="00997C54" w:rsidRPr="007A3BFF" w:rsidRDefault="00997C54" w:rsidP="003E34C2">
      <w:pPr>
        <w:pStyle w:val="Textonotapie"/>
        <w:rPr>
          <w:i/>
          <w:iCs/>
          <w:sz w:val="16"/>
          <w:szCs w:val="16"/>
        </w:rPr>
      </w:pPr>
      <w:r w:rsidRPr="007A3BFF">
        <w:rPr>
          <w:iCs/>
          <w:sz w:val="16"/>
          <w:szCs w:val="16"/>
          <w:vertAlign w:val="superscript"/>
        </w:rPr>
        <w:footnoteRef/>
      </w:r>
      <w:r w:rsidRPr="007A3BFF">
        <w:rPr>
          <w:iCs/>
          <w:sz w:val="16"/>
          <w:szCs w:val="16"/>
          <w:vertAlign w:val="superscript"/>
        </w:rPr>
        <w:t xml:space="preserve"> </w:t>
      </w:r>
      <w:r w:rsidRPr="007A3BFF">
        <w:rPr>
          <w:i/>
          <w:iCs/>
          <w:sz w:val="16"/>
          <w:szCs w:val="16"/>
        </w:rPr>
        <w:tab/>
      </w:r>
      <w:r>
        <w:rPr>
          <w:i/>
          <w:iCs/>
          <w:sz w:val="16"/>
          <w:szCs w:val="16"/>
        </w:rPr>
        <w:t xml:space="preserve">Cfr., inter </w:t>
      </w:r>
      <w:proofErr w:type="spellStart"/>
      <w:r>
        <w:rPr>
          <w:i/>
          <w:iCs/>
          <w:sz w:val="16"/>
          <w:szCs w:val="16"/>
        </w:rPr>
        <w:t>alia</w:t>
      </w:r>
      <w:proofErr w:type="spellEnd"/>
      <w:r>
        <w:rPr>
          <w:i/>
          <w:iCs/>
          <w:sz w:val="16"/>
          <w:szCs w:val="16"/>
        </w:rPr>
        <w:t>,</w:t>
      </w:r>
      <w:r w:rsidRPr="007A3BFF">
        <w:rPr>
          <w:i/>
          <w:iCs/>
          <w:sz w:val="16"/>
          <w:szCs w:val="16"/>
        </w:rPr>
        <w:t xml:space="preserve"> Caso López Álvarez Vs. Honduras. Fondo, Reparaciones y Costas. </w:t>
      </w:r>
      <w:r w:rsidRPr="007A3BFF">
        <w:rPr>
          <w:iCs/>
          <w:sz w:val="16"/>
          <w:szCs w:val="16"/>
        </w:rPr>
        <w:t>Sentencia de 1 de febrero de 2006. Serie C No.141, párr. 67</w:t>
      </w:r>
      <w:r>
        <w:rPr>
          <w:iCs/>
          <w:sz w:val="16"/>
          <w:szCs w:val="16"/>
        </w:rPr>
        <w:t>;</w:t>
      </w:r>
      <w:r w:rsidRPr="007A3BFF">
        <w:rPr>
          <w:i/>
          <w:iCs/>
          <w:sz w:val="16"/>
          <w:szCs w:val="16"/>
        </w:rPr>
        <w:t xml:space="preserve"> </w:t>
      </w:r>
      <w:r>
        <w:rPr>
          <w:i/>
          <w:iCs/>
          <w:sz w:val="16"/>
          <w:szCs w:val="16"/>
        </w:rPr>
        <w:t xml:space="preserve">Caso </w:t>
      </w:r>
      <w:r w:rsidRPr="007A3BFF">
        <w:rPr>
          <w:i/>
          <w:iCs/>
          <w:sz w:val="16"/>
          <w:szCs w:val="16"/>
        </w:rPr>
        <w:t>J. Vs. Perú</w:t>
      </w:r>
      <w:r>
        <w:rPr>
          <w:i/>
          <w:iCs/>
          <w:sz w:val="16"/>
          <w:szCs w:val="16"/>
        </w:rPr>
        <w:t>, supra,</w:t>
      </w:r>
      <w:r w:rsidRPr="007A3BFF">
        <w:rPr>
          <w:i/>
          <w:iCs/>
          <w:sz w:val="16"/>
          <w:szCs w:val="16"/>
        </w:rPr>
        <w:t xml:space="preserve"> </w:t>
      </w:r>
      <w:r w:rsidRPr="00CA78C6">
        <w:rPr>
          <w:iCs/>
          <w:sz w:val="16"/>
          <w:szCs w:val="16"/>
        </w:rPr>
        <w:t>párr. 157</w:t>
      </w:r>
      <w:r w:rsidR="008A1387">
        <w:rPr>
          <w:iCs/>
          <w:sz w:val="16"/>
          <w:szCs w:val="16"/>
        </w:rPr>
        <w:t>;</w:t>
      </w:r>
      <w:r>
        <w:rPr>
          <w:iCs/>
          <w:sz w:val="16"/>
          <w:szCs w:val="16"/>
        </w:rPr>
        <w:t xml:space="preserve"> </w:t>
      </w:r>
      <w:r w:rsidRPr="00CA78C6">
        <w:rPr>
          <w:i/>
          <w:iCs/>
          <w:sz w:val="16"/>
          <w:szCs w:val="16"/>
        </w:rPr>
        <w:t>Caso Herrera Espinoza y otros Vs. Ecuador</w:t>
      </w:r>
      <w:r>
        <w:rPr>
          <w:iCs/>
          <w:sz w:val="16"/>
          <w:szCs w:val="16"/>
        </w:rPr>
        <w:t>, supra, párr. 143</w:t>
      </w:r>
      <w:r w:rsidR="008A1387">
        <w:rPr>
          <w:iCs/>
          <w:sz w:val="16"/>
          <w:szCs w:val="16"/>
        </w:rPr>
        <w:t xml:space="preserve">, y </w:t>
      </w:r>
      <w:r w:rsidR="008A1387" w:rsidRPr="008A1387">
        <w:rPr>
          <w:i/>
          <w:iCs/>
          <w:sz w:val="16"/>
          <w:szCs w:val="16"/>
        </w:rPr>
        <w:t xml:space="preserve">Caso Romero </w:t>
      </w:r>
      <w:proofErr w:type="spellStart"/>
      <w:r w:rsidR="008A1387" w:rsidRPr="008A1387">
        <w:rPr>
          <w:i/>
          <w:iCs/>
          <w:sz w:val="16"/>
          <w:szCs w:val="16"/>
        </w:rPr>
        <w:t>Feris</w:t>
      </w:r>
      <w:proofErr w:type="spellEnd"/>
      <w:r w:rsidR="008A1387" w:rsidRPr="008A1387">
        <w:rPr>
          <w:i/>
          <w:iCs/>
          <w:sz w:val="16"/>
          <w:szCs w:val="16"/>
        </w:rPr>
        <w:t xml:space="preserve"> Vs. Argentina. Fondo, Reparaciones y Costas.</w:t>
      </w:r>
      <w:r w:rsidR="008A1387" w:rsidRPr="008A1387">
        <w:rPr>
          <w:iCs/>
          <w:sz w:val="16"/>
          <w:szCs w:val="16"/>
        </w:rPr>
        <w:t xml:space="preserve"> Sentencia de 15 de octubre de 2019. Serie C No. 391</w:t>
      </w:r>
      <w:r w:rsidR="008A1387">
        <w:rPr>
          <w:iCs/>
          <w:sz w:val="16"/>
          <w:szCs w:val="16"/>
        </w:rPr>
        <w:t>, párr. 97</w:t>
      </w:r>
      <w:r w:rsidRPr="007A3BFF">
        <w:rPr>
          <w:i/>
          <w:iCs/>
          <w:sz w:val="16"/>
          <w:szCs w:val="16"/>
        </w:rPr>
        <w:t xml:space="preserve">. </w:t>
      </w:r>
    </w:p>
  </w:footnote>
  <w:footnote w:id="64">
    <w:p w14:paraId="5C3EC5D3" w14:textId="1D423409" w:rsidR="00997C54" w:rsidRPr="007A3BFF" w:rsidRDefault="00997C54" w:rsidP="003E34C2">
      <w:pPr>
        <w:pStyle w:val="Textonotapie"/>
        <w:rPr>
          <w:i/>
          <w:iCs/>
          <w:sz w:val="16"/>
          <w:szCs w:val="16"/>
        </w:rPr>
      </w:pPr>
      <w:r w:rsidRPr="007A3BFF">
        <w:rPr>
          <w:iCs/>
          <w:sz w:val="16"/>
          <w:szCs w:val="16"/>
          <w:vertAlign w:val="superscript"/>
        </w:rPr>
        <w:footnoteRef/>
      </w:r>
      <w:r w:rsidRPr="007A3BFF">
        <w:rPr>
          <w:i/>
          <w:iCs/>
          <w:sz w:val="16"/>
          <w:szCs w:val="16"/>
        </w:rPr>
        <w:tab/>
        <w:t xml:space="preserve">Cfr. </w:t>
      </w:r>
      <w:r w:rsidRPr="00CA78C6">
        <w:rPr>
          <w:i/>
          <w:iCs/>
          <w:sz w:val="16"/>
          <w:szCs w:val="16"/>
        </w:rPr>
        <w:t xml:space="preserve">Caso Servellón García y otros Vs. Honduras. </w:t>
      </w:r>
      <w:r w:rsidRPr="00CA78C6">
        <w:rPr>
          <w:iCs/>
          <w:sz w:val="16"/>
          <w:szCs w:val="16"/>
        </w:rPr>
        <w:t xml:space="preserve">Sentencia de 21 de septiembre de 2006. Serie C No. 152, párr. 90, </w:t>
      </w:r>
      <w:r w:rsidRPr="007A3BFF">
        <w:rPr>
          <w:iCs/>
          <w:sz w:val="16"/>
          <w:szCs w:val="16"/>
        </w:rPr>
        <w:t>y</w:t>
      </w:r>
      <w:r w:rsidRPr="007A3BFF">
        <w:rPr>
          <w:i/>
          <w:iCs/>
          <w:sz w:val="16"/>
          <w:szCs w:val="16"/>
        </w:rPr>
        <w:t xml:space="preserve"> </w:t>
      </w:r>
      <w:r w:rsidRPr="00CA78C6">
        <w:rPr>
          <w:i/>
          <w:iCs/>
          <w:sz w:val="16"/>
          <w:szCs w:val="16"/>
        </w:rPr>
        <w:t>Caso Herrera Espinoza y otros Vs. Ecuador. Excepciones Preliminares, Fondo, Reparaciones y Costas.</w:t>
      </w:r>
      <w:r w:rsidRPr="00CA78C6">
        <w:rPr>
          <w:iCs/>
          <w:sz w:val="16"/>
          <w:szCs w:val="16"/>
        </w:rPr>
        <w:t xml:space="preserve"> Sentencia de 1 de sept</w:t>
      </w:r>
      <w:r>
        <w:rPr>
          <w:iCs/>
          <w:sz w:val="16"/>
          <w:szCs w:val="16"/>
        </w:rPr>
        <w:t>iembre de 2016. Serie C No. 316, párr. 143</w:t>
      </w:r>
      <w:r w:rsidRPr="007A3BFF">
        <w:rPr>
          <w:i/>
          <w:iCs/>
          <w:sz w:val="16"/>
          <w:szCs w:val="16"/>
        </w:rPr>
        <w:t>.</w:t>
      </w:r>
    </w:p>
  </w:footnote>
  <w:footnote w:id="65">
    <w:p w14:paraId="29ED040C" w14:textId="31401F95" w:rsidR="00997C54" w:rsidRPr="007A3BFF" w:rsidRDefault="00997C54" w:rsidP="00716DEE">
      <w:pPr>
        <w:pStyle w:val="Textonotapie"/>
        <w:rPr>
          <w:i/>
          <w:iCs/>
          <w:sz w:val="16"/>
          <w:szCs w:val="16"/>
        </w:rPr>
      </w:pPr>
      <w:r w:rsidRPr="007A3BFF">
        <w:rPr>
          <w:iCs/>
          <w:sz w:val="16"/>
          <w:szCs w:val="16"/>
          <w:vertAlign w:val="superscript"/>
        </w:rPr>
        <w:footnoteRef/>
      </w:r>
      <w:r w:rsidRPr="007A3BFF">
        <w:rPr>
          <w:i/>
          <w:iCs/>
          <w:sz w:val="16"/>
          <w:szCs w:val="16"/>
        </w:rPr>
        <w:tab/>
        <w:t xml:space="preserve">Cfr. Caso Tibi Vs. Ecuador, supra, </w:t>
      </w:r>
      <w:r w:rsidRPr="007A3BFF">
        <w:rPr>
          <w:iCs/>
          <w:sz w:val="16"/>
          <w:szCs w:val="16"/>
        </w:rPr>
        <w:t xml:space="preserve">párr. 106, y </w:t>
      </w:r>
      <w:r w:rsidRPr="00CA78C6">
        <w:rPr>
          <w:i/>
          <w:iCs/>
          <w:sz w:val="16"/>
          <w:szCs w:val="16"/>
        </w:rPr>
        <w:t>Caso Herrera Espinoza y otros Vs. Ecuador</w:t>
      </w:r>
      <w:r>
        <w:rPr>
          <w:i/>
          <w:iCs/>
          <w:sz w:val="16"/>
          <w:szCs w:val="16"/>
        </w:rPr>
        <w:t>, supra</w:t>
      </w:r>
      <w:r>
        <w:rPr>
          <w:iCs/>
          <w:sz w:val="16"/>
          <w:szCs w:val="16"/>
        </w:rPr>
        <w:t>, párr. 143</w:t>
      </w:r>
      <w:r w:rsidRPr="007A3BFF">
        <w:rPr>
          <w:i/>
          <w:iCs/>
          <w:sz w:val="16"/>
          <w:szCs w:val="16"/>
        </w:rPr>
        <w:t>.</w:t>
      </w:r>
    </w:p>
  </w:footnote>
  <w:footnote w:id="66">
    <w:p w14:paraId="559172A8" w14:textId="47F88AE4" w:rsidR="00997C54" w:rsidRPr="007A3BFF" w:rsidRDefault="00997C54" w:rsidP="003E34C2">
      <w:pPr>
        <w:pStyle w:val="Textonotapie"/>
        <w:rPr>
          <w:sz w:val="16"/>
          <w:szCs w:val="16"/>
        </w:rPr>
      </w:pPr>
      <w:r w:rsidRPr="007A3BFF">
        <w:rPr>
          <w:rStyle w:val="Refdenotaalpie"/>
          <w:sz w:val="16"/>
          <w:szCs w:val="16"/>
        </w:rPr>
        <w:footnoteRef/>
      </w:r>
      <w:r w:rsidRPr="007A3BFF">
        <w:rPr>
          <w:sz w:val="16"/>
          <w:szCs w:val="16"/>
        </w:rPr>
        <w:t xml:space="preserve"> </w:t>
      </w:r>
      <w:r w:rsidRPr="007A3BFF">
        <w:rPr>
          <w:sz w:val="16"/>
          <w:szCs w:val="16"/>
        </w:rPr>
        <w:tab/>
      </w:r>
      <w:r w:rsidRPr="007A3BFF">
        <w:rPr>
          <w:i/>
          <w:sz w:val="16"/>
          <w:szCs w:val="16"/>
        </w:rPr>
        <w:t xml:space="preserve">Cfr. Caso </w:t>
      </w:r>
      <w:proofErr w:type="spellStart"/>
      <w:r w:rsidRPr="007A3BFF">
        <w:rPr>
          <w:i/>
          <w:sz w:val="16"/>
          <w:szCs w:val="16"/>
        </w:rPr>
        <w:t>Gangaram</w:t>
      </w:r>
      <w:proofErr w:type="spellEnd"/>
      <w:r w:rsidRPr="007A3BFF">
        <w:rPr>
          <w:i/>
          <w:sz w:val="16"/>
          <w:szCs w:val="16"/>
        </w:rPr>
        <w:t xml:space="preserve"> </w:t>
      </w:r>
      <w:proofErr w:type="spellStart"/>
      <w:r w:rsidRPr="007A3BFF">
        <w:rPr>
          <w:i/>
          <w:sz w:val="16"/>
          <w:szCs w:val="16"/>
        </w:rPr>
        <w:t>Panday</w:t>
      </w:r>
      <w:proofErr w:type="spellEnd"/>
      <w:r w:rsidRPr="007A3BFF">
        <w:rPr>
          <w:i/>
          <w:sz w:val="16"/>
          <w:szCs w:val="16"/>
        </w:rPr>
        <w:t xml:space="preserve"> Vs. Surinam. Fondo, Reparaciones y Costas.</w:t>
      </w:r>
      <w:r w:rsidRPr="007A3BFF">
        <w:rPr>
          <w:sz w:val="16"/>
          <w:szCs w:val="16"/>
        </w:rPr>
        <w:t xml:space="preserve"> Sentencia de 21 de enero de 1994. Serie C No. 16, párr. 47</w:t>
      </w:r>
      <w:r w:rsidRPr="00CA78C6">
        <w:rPr>
          <w:iCs/>
          <w:sz w:val="16"/>
          <w:szCs w:val="16"/>
        </w:rPr>
        <w:t>,</w:t>
      </w:r>
      <w:r w:rsidRPr="007A3BFF">
        <w:rPr>
          <w:i/>
          <w:iCs/>
          <w:sz w:val="16"/>
          <w:szCs w:val="16"/>
        </w:rPr>
        <w:t xml:space="preserve"> </w:t>
      </w:r>
      <w:r w:rsidRPr="00CA78C6">
        <w:rPr>
          <w:iCs/>
          <w:sz w:val="16"/>
          <w:szCs w:val="16"/>
        </w:rPr>
        <w:t>y</w:t>
      </w:r>
      <w:r w:rsidRPr="007A3BFF">
        <w:rPr>
          <w:i/>
          <w:iCs/>
          <w:sz w:val="16"/>
          <w:szCs w:val="16"/>
        </w:rPr>
        <w:t xml:space="preserve"> </w:t>
      </w:r>
      <w:r w:rsidRPr="00CA78C6">
        <w:rPr>
          <w:i/>
          <w:iCs/>
          <w:sz w:val="16"/>
          <w:szCs w:val="16"/>
        </w:rPr>
        <w:t>Caso Mujeres Víctimas de Tortura Sexual en Atenco Vs. México</w:t>
      </w:r>
      <w:r>
        <w:rPr>
          <w:i/>
          <w:iCs/>
          <w:sz w:val="16"/>
          <w:szCs w:val="16"/>
        </w:rPr>
        <w:t>, supra</w:t>
      </w:r>
      <w:r w:rsidRPr="00CA78C6">
        <w:rPr>
          <w:iCs/>
          <w:sz w:val="16"/>
          <w:szCs w:val="16"/>
        </w:rPr>
        <w:t xml:space="preserve">, </w:t>
      </w:r>
      <w:r w:rsidRPr="007A3BFF">
        <w:rPr>
          <w:iCs/>
          <w:sz w:val="16"/>
          <w:szCs w:val="16"/>
        </w:rPr>
        <w:t xml:space="preserve">párr. </w:t>
      </w:r>
      <w:r>
        <w:rPr>
          <w:iCs/>
          <w:sz w:val="16"/>
          <w:szCs w:val="16"/>
        </w:rPr>
        <w:t>231</w:t>
      </w:r>
      <w:r w:rsidRPr="007A3BFF">
        <w:rPr>
          <w:iCs/>
          <w:sz w:val="16"/>
          <w:szCs w:val="16"/>
        </w:rPr>
        <w:t>.</w:t>
      </w:r>
    </w:p>
  </w:footnote>
  <w:footnote w:id="67">
    <w:p w14:paraId="47E87511" w14:textId="24F52026" w:rsidR="00997C54" w:rsidRPr="007A3BFF" w:rsidRDefault="00997C54" w:rsidP="003E34C2">
      <w:pPr>
        <w:pStyle w:val="Textonotapie"/>
        <w:rPr>
          <w:sz w:val="16"/>
          <w:szCs w:val="16"/>
        </w:rPr>
      </w:pPr>
      <w:r w:rsidRPr="007A3BFF">
        <w:rPr>
          <w:rStyle w:val="Refdenotaalpie"/>
          <w:sz w:val="16"/>
          <w:szCs w:val="16"/>
        </w:rPr>
        <w:footnoteRef/>
      </w:r>
      <w:r w:rsidRPr="007A3BFF">
        <w:rPr>
          <w:sz w:val="16"/>
          <w:szCs w:val="16"/>
        </w:rPr>
        <w:t xml:space="preserve"> </w:t>
      </w:r>
      <w:r w:rsidRPr="007A3BFF">
        <w:rPr>
          <w:sz w:val="16"/>
          <w:szCs w:val="16"/>
        </w:rPr>
        <w:tab/>
      </w:r>
      <w:r w:rsidRPr="007A3BFF">
        <w:rPr>
          <w:i/>
          <w:sz w:val="16"/>
          <w:szCs w:val="16"/>
        </w:rPr>
        <w:t xml:space="preserve">Cfr. Caso Yarce y otras Vs. Colombia. Excepción Preliminar, Fondo, Reparaciones y Costas. </w:t>
      </w:r>
      <w:r w:rsidRPr="007A3BFF">
        <w:rPr>
          <w:sz w:val="16"/>
          <w:szCs w:val="16"/>
        </w:rPr>
        <w:t xml:space="preserve">Sentencia de 22 de noviembre de 2016. Serie C No. 325, párr. 140. </w:t>
      </w:r>
      <w:r w:rsidRPr="007A3BFF">
        <w:rPr>
          <w:sz w:val="16"/>
          <w:szCs w:val="16"/>
        </w:rPr>
        <w:t xml:space="preserve">Véase asimismo: Comité de Derechos Humanos. Informe No. 458/1991, A. W. </w:t>
      </w:r>
      <w:proofErr w:type="spellStart"/>
      <w:r w:rsidRPr="007A3BFF">
        <w:rPr>
          <w:sz w:val="16"/>
          <w:szCs w:val="16"/>
        </w:rPr>
        <w:t>Mukong</w:t>
      </w:r>
      <w:proofErr w:type="spellEnd"/>
      <w:r w:rsidRPr="007A3BFF">
        <w:rPr>
          <w:sz w:val="16"/>
          <w:szCs w:val="16"/>
        </w:rPr>
        <w:t xml:space="preserve"> v. Cameron (21 julio 1994), en ONU doc. GAOR, A/49/40 (vol. II), p. 181, párr. 9.8. “Con respecto al significado de las palabras “detención arbitraria” en el artículo 9 (1), el Comité de Derechos Humanos ha explicado que “arbitrariedad” no debe equipararse con “contra la ley”, sino que debe ser interpretado de manera más amplia para incluir elementos de inadecuación, injusticia, falta de previsibilidad y debido proceso legal. Esto significa que la detención preventiva en virtud de un arresto no solo debe ser legal sino razonable dadas las características fácticas […].", y Grupo de Trabajo sobre Detención Arbitraria. Informe anual año 2013 A/HRC/22/44. Párr. 61.</w:t>
      </w:r>
    </w:p>
  </w:footnote>
  <w:footnote w:id="68">
    <w:p w14:paraId="3BDFE571" w14:textId="11BC6C3D" w:rsidR="00997C54" w:rsidRPr="007A3BFF" w:rsidRDefault="00997C54" w:rsidP="003E34C2">
      <w:pPr>
        <w:pStyle w:val="Textonotapie"/>
        <w:rPr>
          <w:sz w:val="16"/>
          <w:szCs w:val="16"/>
        </w:rPr>
      </w:pPr>
      <w:r w:rsidRPr="007A3BFF">
        <w:rPr>
          <w:rStyle w:val="Refdenotaalpie"/>
          <w:sz w:val="16"/>
          <w:szCs w:val="16"/>
        </w:rPr>
        <w:footnoteRef/>
      </w:r>
      <w:r w:rsidRPr="007A3BFF">
        <w:rPr>
          <w:sz w:val="16"/>
          <w:szCs w:val="16"/>
        </w:rPr>
        <w:t xml:space="preserve"> </w:t>
      </w:r>
      <w:r w:rsidRPr="007A3BFF">
        <w:rPr>
          <w:sz w:val="16"/>
          <w:szCs w:val="16"/>
        </w:rPr>
        <w:tab/>
      </w:r>
      <w:r w:rsidRPr="007A3BFF">
        <w:rPr>
          <w:i/>
          <w:sz w:val="16"/>
          <w:szCs w:val="16"/>
        </w:rPr>
        <w:t>Cfr. Caso Mujeres Víctimas de Tortura Sexual en Atenco Vs. México</w:t>
      </w:r>
      <w:r w:rsidRPr="007A3BFF">
        <w:rPr>
          <w:sz w:val="16"/>
          <w:szCs w:val="16"/>
        </w:rPr>
        <w:t xml:space="preserve">, </w:t>
      </w:r>
      <w:r>
        <w:rPr>
          <w:sz w:val="16"/>
          <w:szCs w:val="16"/>
        </w:rPr>
        <w:t xml:space="preserve">supra, </w:t>
      </w:r>
      <w:r w:rsidRPr="007A3BFF">
        <w:rPr>
          <w:sz w:val="16"/>
          <w:szCs w:val="16"/>
        </w:rPr>
        <w:t xml:space="preserve">párr. 251. </w:t>
      </w:r>
    </w:p>
  </w:footnote>
  <w:footnote w:id="69">
    <w:p w14:paraId="1771F8D8" w14:textId="7485CB5E" w:rsidR="00997C54" w:rsidRPr="007A3BFF" w:rsidRDefault="00997C54" w:rsidP="003E34C2">
      <w:pPr>
        <w:pStyle w:val="Textonotapie"/>
        <w:rPr>
          <w:sz w:val="16"/>
          <w:szCs w:val="16"/>
        </w:rPr>
      </w:pPr>
      <w:r w:rsidRPr="007A3BFF">
        <w:rPr>
          <w:rStyle w:val="Refdenotaalpie"/>
          <w:sz w:val="16"/>
          <w:szCs w:val="16"/>
        </w:rPr>
        <w:footnoteRef/>
      </w:r>
      <w:r w:rsidRPr="007A3BFF">
        <w:rPr>
          <w:sz w:val="16"/>
          <w:szCs w:val="16"/>
        </w:rPr>
        <w:t xml:space="preserve"> </w:t>
      </w:r>
      <w:r w:rsidRPr="007A3BFF">
        <w:rPr>
          <w:sz w:val="16"/>
          <w:szCs w:val="16"/>
        </w:rPr>
        <w:tab/>
      </w:r>
      <w:r w:rsidRPr="007A3BFF">
        <w:rPr>
          <w:i/>
          <w:sz w:val="16"/>
          <w:szCs w:val="16"/>
        </w:rPr>
        <w:t xml:space="preserve">Cfr. Caso </w:t>
      </w:r>
      <w:proofErr w:type="spellStart"/>
      <w:r w:rsidRPr="007A3BFF">
        <w:rPr>
          <w:i/>
          <w:sz w:val="16"/>
          <w:szCs w:val="16"/>
        </w:rPr>
        <w:t>Palamara</w:t>
      </w:r>
      <w:proofErr w:type="spellEnd"/>
      <w:r w:rsidRPr="007A3BFF">
        <w:rPr>
          <w:i/>
          <w:sz w:val="16"/>
          <w:szCs w:val="16"/>
        </w:rPr>
        <w:t xml:space="preserve"> Iribarne Vs. Chile. Fondo, Reparaciones y Costas</w:t>
      </w:r>
      <w:r w:rsidRPr="007A3BFF">
        <w:rPr>
          <w:sz w:val="16"/>
          <w:szCs w:val="16"/>
        </w:rPr>
        <w:t xml:space="preserve">. Sentencia de 22 de noviembre de 2005. Serie C No. 135, párr. 197, y </w:t>
      </w:r>
      <w:r w:rsidRPr="007A3BFF">
        <w:rPr>
          <w:i/>
          <w:sz w:val="16"/>
          <w:szCs w:val="16"/>
        </w:rPr>
        <w:t>Caso Mujeres Víctimas de Tortura Sexual en Atenco Vs. México</w:t>
      </w:r>
      <w:r>
        <w:rPr>
          <w:i/>
          <w:sz w:val="16"/>
          <w:szCs w:val="16"/>
        </w:rPr>
        <w:t>, supra</w:t>
      </w:r>
      <w:r w:rsidRPr="007A3BFF">
        <w:rPr>
          <w:sz w:val="16"/>
          <w:szCs w:val="16"/>
        </w:rPr>
        <w:t xml:space="preserve">, párr. 251. </w:t>
      </w:r>
    </w:p>
  </w:footnote>
  <w:footnote w:id="70">
    <w:p w14:paraId="0A643350" w14:textId="5DB77BA9" w:rsidR="00997C54" w:rsidRPr="007A3BFF" w:rsidRDefault="00997C54" w:rsidP="003E34C2">
      <w:pPr>
        <w:pStyle w:val="Textonotapie"/>
        <w:rPr>
          <w:sz w:val="16"/>
          <w:szCs w:val="16"/>
        </w:rPr>
      </w:pPr>
      <w:r w:rsidRPr="007A3BFF">
        <w:rPr>
          <w:rStyle w:val="Refdenotaalpie"/>
          <w:sz w:val="16"/>
          <w:szCs w:val="16"/>
        </w:rPr>
        <w:footnoteRef/>
      </w:r>
      <w:r w:rsidRPr="007A3BFF">
        <w:rPr>
          <w:sz w:val="16"/>
          <w:szCs w:val="16"/>
        </w:rPr>
        <w:t xml:space="preserve"> </w:t>
      </w:r>
      <w:r w:rsidRPr="007A3BFF">
        <w:rPr>
          <w:sz w:val="16"/>
          <w:szCs w:val="16"/>
        </w:rPr>
        <w:tab/>
      </w:r>
      <w:r w:rsidRPr="007A3BFF">
        <w:rPr>
          <w:i/>
          <w:sz w:val="16"/>
          <w:szCs w:val="16"/>
        </w:rPr>
        <w:t xml:space="preserve">Cfr. Caso García </w:t>
      </w:r>
      <w:proofErr w:type="spellStart"/>
      <w:r w:rsidRPr="007A3BFF">
        <w:rPr>
          <w:i/>
          <w:sz w:val="16"/>
          <w:szCs w:val="16"/>
        </w:rPr>
        <w:t>Asto</w:t>
      </w:r>
      <w:proofErr w:type="spellEnd"/>
      <w:r w:rsidRPr="007A3BFF">
        <w:rPr>
          <w:i/>
          <w:sz w:val="16"/>
          <w:szCs w:val="16"/>
        </w:rPr>
        <w:t xml:space="preserve"> y Ramírez Rojas Vs. Perú. Excepción Preliminar, Fondo, Reparaciones y Costas. </w:t>
      </w:r>
      <w:r w:rsidRPr="007A3BFF">
        <w:rPr>
          <w:sz w:val="16"/>
          <w:szCs w:val="16"/>
        </w:rPr>
        <w:t xml:space="preserve">Sentencia de 25 de noviembre de 2005. Serie C No. 137, párr. 128, y </w:t>
      </w:r>
      <w:r w:rsidRPr="007A3BFF">
        <w:rPr>
          <w:i/>
          <w:sz w:val="16"/>
          <w:szCs w:val="16"/>
        </w:rPr>
        <w:t>Caso Mujeres Víctimas de Tortura Sexual en Atenco Vs. México</w:t>
      </w:r>
      <w:r>
        <w:rPr>
          <w:i/>
          <w:sz w:val="16"/>
          <w:szCs w:val="16"/>
        </w:rPr>
        <w:t>, supra</w:t>
      </w:r>
      <w:r w:rsidRPr="007A3BFF">
        <w:rPr>
          <w:sz w:val="16"/>
          <w:szCs w:val="16"/>
        </w:rPr>
        <w:t xml:space="preserve">, párr. 251. Véase, para mayor desarrollo, </w:t>
      </w:r>
      <w:r w:rsidRPr="00E31DCD">
        <w:rPr>
          <w:i/>
          <w:sz w:val="16"/>
          <w:szCs w:val="16"/>
        </w:rPr>
        <w:t xml:space="preserve">Caso Romero </w:t>
      </w:r>
      <w:proofErr w:type="spellStart"/>
      <w:r w:rsidRPr="00E31DCD">
        <w:rPr>
          <w:i/>
          <w:sz w:val="16"/>
          <w:szCs w:val="16"/>
        </w:rPr>
        <w:t>Feris</w:t>
      </w:r>
      <w:proofErr w:type="spellEnd"/>
      <w:r w:rsidRPr="00E31DCD">
        <w:rPr>
          <w:i/>
          <w:sz w:val="16"/>
          <w:szCs w:val="16"/>
        </w:rPr>
        <w:t xml:space="preserve"> Vs. Argentina</w:t>
      </w:r>
      <w:r w:rsidRPr="00E31DCD">
        <w:rPr>
          <w:sz w:val="16"/>
          <w:szCs w:val="16"/>
        </w:rPr>
        <w:t>,</w:t>
      </w:r>
      <w:r w:rsidR="008A1387">
        <w:rPr>
          <w:sz w:val="16"/>
          <w:szCs w:val="16"/>
        </w:rPr>
        <w:t xml:space="preserve"> </w:t>
      </w:r>
      <w:r w:rsidR="008A1387" w:rsidRPr="008A1387">
        <w:rPr>
          <w:i/>
          <w:sz w:val="16"/>
          <w:szCs w:val="16"/>
        </w:rPr>
        <w:t>supra</w:t>
      </w:r>
      <w:r w:rsidR="008A1387">
        <w:rPr>
          <w:sz w:val="16"/>
          <w:szCs w:val="16"/>
        </w:rPr>
        <w:t>,</w:t>
      </w:r>
      <w:r w:rsidRPr="00E31DCD">
        <w:rPr>
          <w:sz w:val="16"/>
          <w:szCs w:val="16"/>
        </w:rPr>
        <w:t xml:space="preserve"> </w:t>
      </w:r>
      <w:proofErr w:type="spellStart"/>
      <w:r w:rsidRPr="00E31DCD">
        <w:rPr>
          <w:sz w:val="16"/>
          <w:szCs w:val="16"/>
        </w:rPr>
        <w:t>párrs</w:t>
      </w:r>
      <w:proofErr w:type="spellEnd"/>
      <w:r w:rsidRPr="008A1387">
        <w:rPr>
          <w:sz w:val="16"/>
          <w:szCs w:val="16"/>
        </w:rPr>
        <w:t xml:space="preserve">. </w:t>
      </w:r>
      <w:r w:rsidR="008A1387" w:rsidRPr="008A1387">
        <w:rPr>
          <w:sz w:val="16"/>
          <w:szCs w:val="16"/>
        </w:rPr>
        <w:t>93</w:t>
      </w:r>
      <w:r w:rsidRPr="008A1387">
        <w:rPr>
          <w:sz w:val="16"/>
          <w:szCs w:val="16"/>
        </w:rPr>
        <w:t xml:space="preserve"> a 11</w:t>
      </w:r>
      <w:r w:rsidR="008A1387">
        <w:rPr>
          <w:sz w:val="16"/>
          <w:szCs w:val="16"/>
        </w:rPr>
        <w:t>1</w:t>
      </w:r>
      <w:r w:rsidR="008A1387" w:rsidRPr="008A1387">
        <w:rPr>
          <w:sz w:val="16"/>
          <w:szCs w:val="16"/>
        </w:rPr>
        <w:t>.</w:t>
      </w:r>
    </w:p>
  </w:footnote>
  <w:footnote w:id="71">
    <w:p w14:paraId="41114A6C" w14:textId="798B56FA" w:rsidR="00997C54" w:rsidRPr="007A3BFF" w:rsidRDefault="00997C54" w:rsidP="003E34C2">
      <w:pPr>
        <w:pStyle w:val="Textonotapie"/>
        <w:rPr>
          <w:sz w:val="16"/>
          <w:szCs w:val="16"/>
        </w:rPr>
      </w:pPr>
      <w:r w:rsidRPr="007A3BFF">
        <w:rPr>
          <w:rStyle w:val="Refdenotaalpie"/>
          <w:sz w:val="16"/>
          <w:szCs w:val="16"/>
        </w:rPr>
        <w:footnoteRef/>
      </w:r>
      <w:r w:rsidRPr="007A3BFF">
        <w:rPr>
          <w:sz w:val="16"/>
          <w:szCs w:val="16"/>
        </w:rPr>
        <w:t xml:space="preserve"> </w:t>
      </w:r>
      <w:r w:rsidRPr="007A3BFF">
        <w:rPr>
          <w:sz w:val="16"/>
          <w:szCs w:val="16"/>
        </w:rPr>
        <w:tab/>
      </w:r>
      <w:r w:rsidRPr="007A3BFF">
        <w:rPr>
          <w:i/>
          <w:sz w:val="16"/>
          <w:szCs w:val="16"/>
        </w:rPr>
        <w:t>Cfr</w:t>
      </w:r>
      <w:r w:rsidRPr="007A3BFF">
        <w:rPr>
          <w:sz w:val="16"/>
          <w:szCs w:val="16"/>
        </w:rPr>
        <w:t xml:space="preserve">. </w:t>
      </w:r>
      <w:r w:rsidRPr="007A3BFF">
        <w:rPr>
          <w:bCs/>
          <w:i/>
          <w:sz w:val="16"/>
          <w:szCs w:val="16"/>
        </w:rPr>
        <w:t>Caso Servellón García y otros Vs. Honduras</w:t>
      </w:r>
      <w:r w:rsidRPr="007A3BFF">
        <w:rPr>
          <w:bCs/>
          <w:sz w:val="16"/>
          <w:szCs w:val="16"/>
        </w:rPr>
        <w:t xml:space="preserve">, </w:t>
      </w:r>
      <w:r w:rsidRPr="00716DEE">
        <w:rPr>
          <w:bCs/>
          <w:i/>
          <w:sz w:val="16"/>
          <w:szCs w:val="16"/>
        </w:rPr>
        <w:t>supra</w:t>
      </w:r>
      <w:r>
        <w:rPr>
          <w:bCs/>
          <w:sz w:val="16"/>
          <w:szCs w:val="16"/>
        </w:rPr>
        <w:t xml:space="preserve">, </w:t>
      </w:r>
      <w:r w:rsidRPr="007A3BFF">
        <w:rPr>
          <w:bCs/>
          <w:sz w:val="16"/>
          <w:szCs w:val="16"/>
        </w:rPr>
        <w:t>párr. 90</w:t>
      </w:r>
      <w:r>
        <w:rPr>
          <w:bCs/>
          <w:sz w:val="16"/>
          <w:szCs w:val="16"/>
        </w:rPr>
        <w:t>,</w:t>
      </w:r>
      <w:r w:rsidRPr="007A3BFF">
        <w:rPr>
          <w:bCs/>
          <w:sz w:val="16"/>
          <w:szCs w:val="16"/>
        </w:rPr>
        <w:t xml:space="preserve"> y</w:t>
      </w:r>
      <w:r w:rsidRPr="007A3BFF">
        <w:rPr>
          <w:b/>
          <w:bCs/>
          <w:sz w:val="16"/>
          <w:szCs w:val="16"/>
        </w:rPr>
        <w:t xml:space="preserve"> </w:t>
      </w:r>
      <w:r w:rsidRPr="00CA78C6">
        <w:rPr>
          <w:i/>
          <w:iCs/>
          <w:sz w:val="16"/>
          <w:szCs w:val="16"/>
        </w:rPr>
        <w:t>Caso Mujeres Víctimas de Tortura Sexual en Atenco Vs. México</w:t>
      </w:r>
      <w:r>
        <w:rPr>
          <w:i/>
          <w:iCs/>
          <w:sz w:val="16"/>
          <w:szCs w:val="16"/>
        </w:rPr>
        <w:t xml:space="preserve">, </w:t>
      </w:r>
      <w:r w:rsidRPr="007A3BFF">
        <w:rPr>
          <w:iCs/>
          <w:sz w:val="16"/>
          <w:szCs w:val="16"/>
        </w:rPr>
        <w:t xml:space="preserve">párr. </w:t>
      </w:r>
      <w:r>
        <w:rPr>
          <w:iCs/>
          <w:sz w:val="16"/>
          <w:szCs w:val="16"/>
        </w:rPr>
        <w:t>240</w:t>
      </w:r>
      <w:r w:rsidRPr="007A3BFF">
        <w:rPr>
          <w:iCs/>
          <w:sz w:val="16"/>
          <w:szCs w:val="16"/>
        </w:rPr>
        <w:t>.</w:t>
      </w:r>
    </w:p>
  </w:footnote>
  <w:footnote w:id="72">
    <w:p w14:paraId="594F2D59" w14:textId="77256258" w:rsidR="00997C54" w:rsidRPr="007A3BFF" w:rsidRDefault="00997C54" w:rsidP="003E34C2">
      <w:pPr>
        <w:pStyle w:val="Textonotapie"/>
        <w:rPr>
          <w:sz w:val="16"/>
          <w:szCs w:val="16"/>
        </w:rPr>
      </w:pPr>
      <w:r w:rsidRPr="007A3BFF">
        <w:rPr>
          <w:rStyle w:val="Refdenotaalpie"/>
          <w:sz w:val="16"/>
          <w:szCs w:val="16"/>
        </w:rPr>
        <w:footnoteRef/>
      </w:r>
      <w:r w:rsidRPr="007A3BFF">
        <w:rPr>
          <w:sz w:val="16"/>
          <w:szCs w:val="16"/>
        </w:rPr>
        <w:t xml:space="preserve"> </w:t>
      </w:r>
      <w:r w:rsidRPr="007A3BFF">
        <w:rPr>
          <w:sz w:val="16"/>
          <w:szCs w:val="16"/>
        </w:rPr>
        <w:tab/>
      </w:r>
      <w:r w:rsidRPr="007A3BFF">
        <w:rPr>
          <w:i/>
          <w:sz w:val="16"/>
          <w:szCs w:val="16"/>
        </w:rPr>
        <w:t>Cfr. Caso Argüelles y otros Vs. Argentina. Excepciones Preliminares, Fondo, Reparaciones y Costas.</w:t>
      </w:r>
      <w:r w:rsidRPr="007A3BFF">
        <w:rPr>
          <w:sz w:val="16"/>
          <w:szCs w:val="16"/>
        </w:rPr>
        <w:t xml:space="preserve"> Sentencia de 20 de noviembre de 2014. </w:t>
      </w:r>
      <w:r w:rsidRPr="00B465BA">
        <w:rPr>
          <w:sz w:val="16"/>
          <w:szCs w:val="16"/>
          <w:lang w:val="es-CR"/>
        </w:rPr>
        <w:t xml:space="preserve">Serie C No. 288, párr. 120, </w:t>
      </w:r>
      <w:r w:rsidRPr="00B465BA">
        <w:rPr>
          <w:i/>
          <w:sz w:val="16"/>
          <w:szCs w:val="16"/>
          <w:lang w:val="es-CR"/>
        </w:rPr>
        <w:t xml:space="preserve">Caso Wong Ho </w:t>
      </w:r>
      <w:r w:rsidRPr="00B465BA">
        <w:rPr>
          <w:i/>
          <w:sz w:val="16"/>
          <w:szCs w:val="16"/>
          <w:lang w:val="es-CR"/>
        </w:rPr>
        <w:t xml:space="preserve">Wing Vs. Perú. </w:t>
      </w:r>
      <w:r w:rsidRPr="007A3BFF">
        <w:rPr>
          <w:i/>
          <w:sz w:val="16"/>
          <w:szCs w:val="16"/>
        </w:rPr>
        <w:t>Excepción Preliminar, Fondo, Reparaciones y Costas</w:t>
      </w:r>
      <w:r w:rsidRPr="007A3BFF">
        <w:rPr>
          <w:sz w:val="16"/>
          <w:szCs w:val="16"/>
        </w:rPr>
        <w:t xml:space="preserve">. Sentencia de 30 de junio de 2015. Serie C No. 297, párr. 248, y </w:t>
      </w:r>
      <w:r w:rsidRPr="007A3BFF">
        <w:rPr>
          <w:i/>
          <w:sz w:val="16"/>
          <w:szCs w:val="16"/>
        </w:rPr>
        <w:t xml:space="preserve">Caso </w:t>
      </w:r>
      <w:proofErr w:type="spellStart"/>
      <w:r w:rsidRPr="007A3BFF">
        <w:rPr>
          <w:i/>
          <w:sz w:val="16"/>
          <w:szCs w:val="16"/>
        </w:rPr>
        <w:t>Amrhein</w:t>
      </w:r>
      <w:proofErr w:type="spellEnd"/>
      <w:r w:rsidRPr="007A3BFF">
        <w:rPr>
          <w:i/>
          <w:sz w:val="16"/>
          <w:szCs w:val="16"/>
        </w:rPr>
        <w:t xml:space="preserve"> y otros Vs. Costa Rica. Excepciones Preliminares, Fondo, Reparaciones y Costas.</w:t>
      </w:r>
      <w:r w:rsidRPr="007A3BFF">
        <w:rPr>
          <w:sz w:val="16"/>
          <w:szCs w:val="16"/>
        </w:rPr>
        <w:t xml:space="preserve"> Sentencia de 25 de abril de 2018. Serie C No. 354, párr. 356. </w:t>
      </w:r>
    </w:p>
  </w:footnote>
  <w:footnote w:id="73">
    <w:p w14:paraId="4D8B942F" w14:textId="1AD9067C" w:rsidR="00997C54" w:rsidRPr="007A3BFF" w:rsidRDefault="00997C54" w:rsidP="003E34C2">
      <w:pPr>
        <w:pStyle w:val="Textonotapie"/>
        <w:rPr>
          <w:sz w:val="16"/>
          <w:szCs w:val="16"/>
        </w:rPr>
      </w:pPr>
      <w:r w:rsidRPr="007A3BFF">
        <w:rPr>
          <w:rStyle w:val="Refdenotaalpie"/>
          <w:sz w:val="16"/>
          <w:szCs w:val="16"/>
        </w:rPr>
        <w:footnoteRef/>
      </w:r>
      <w:r w:rsidRPr="007A3BFF">
        <w:rPr>
          <w:sz w:val="16"/>
          <w:szCs w:val="16"/>
        </w:rPr>
        <w:t xml:space="preserve"> </w:t>
      </w:r>
      <w:r w:rsidRPr="007A3BFF">
        <w:rPr>
          <w:sz w:val="16"/>
          <w:szCs w:val="16"/>
        </w:rPr>
        <w:tab/>
      </w:r>
      <w:r w:rsidRPr="007A3BFF">
        <w:rPr>
          <w:i/>
          <w:sz w:val="16"/>
          <w:szCs w:val="16"/>
        </w:rPr>
        <w:t>Cfr</w:t>
      </w:r>
      <w:r w:rsidRPr="007A3BFF">
        <w:rPr>
          <w:sz w:val="16"/>
          <w:szCs w:val="16"/>
        </w:rPr>
        <w:t xml:space="preserve">. </w:t>
      </w:r>
      <w:r w:rsidRPr="007A3BFF">
        <w:rPr>
          <w:i/>
          <w:sz w:val="16"/>
          <w:szCs w:val="16"/>
        </w:rPr>
        <w:t>Caso Suárez Rosero Vs. Ecuador. Reparaciones y Costas</w:t>
      </w:r>
      <w:r w:rsidRPr="007A3BFF">
        <w:rPr>
          <w:sz w:val="16"/>
          <w:szCs w:val="16"/>
        </w:rPr>
        <w:t xml:space="preserve">. Sentencia de 20 de enero de </w:t>
      </w:r>
      <w:r>
        <w:rPr>
          <w:sz w:val="16"/>
          <w:szCs w:val="16"/>
        </w:rPr>
        <w:t xml:space="preserve">1999. Serie C No. 44, párr. 77; </w:t>
      </w:r>
      <w:r w:rsidRPr="007A3BFF">
        <w:rPr>
          <w:bCs/>
          <w:i/>
          <w:sz w:val="16"/>
          <w:szCs w:val="16"/>
          <w:lang w:val="es-CR"/>
        </w:rPr>
        <w:t xml:space="preserve">Caso Wong Ho </w:t>
      </w:r>
      <w:r w:rsidRPr="007A3BFF">
        <w:rPr>
          <w:bCs/>
          <w:i/>
          <w:sz w:val="16"/>
          <w:szCs w:val="16"/>
          <w:lang w:val="es-CR"/>
        </w:rPr>
        <w:t>Wing Vs. Perú</w:t>
      </w:r>
      <w:r>
        <w:rPr>
          <w:bCs/>
          <w:i/>
          <w:sz w:val="16"/>
          <w:szCs w:val="16"/>
          <w:lang w:val="es-CR"/>
        </w:rPr>
        <w:t>, supra</w:t>
      </w:r>
      <w:r w:rsidRPr="007A3BFF">
        <w:rPr>
          <w:sz w:val="16"/>
          <w:szCs w:val="16"/>
        </w:rPr>
        <w:t xml:space="preserve">, párr. 250, y </w:t>
      </w:r>
      <w:r w:rsidRPr="007A3BFF">
        <w:rPr>
          <w:i/>
          <w:sz w:val="16"/>
          <w:szCs w:val="16"/>
        </w:rPr>
        <w:t>Caso Mujeres Víctimas de Tortura Sexual en Atenco Vs. México</w:t>
      </w:r>
      <w:r w:rsidRPr="007A3BFF">
        <w:rPr>
          <w:sz w:val="16"/>
          <w:szCs w:val="16"/>
        </w:rPr>
        <w:t xml:space="preserve">, </w:t>
      </w:r>
      <w:r w:rsidRPr="000F6C48">
        <w:rPr>
          <w:i/>
          <w:sz w:val="16"/>
          <w:szCs w:val="16"/>
        </w:rPr>
        <w:t>supra</w:t>
      </w:r>
      <w:r>
        <w:rPr>
          <w:sz w:val="16"/>
          <w:szCs w:val="16"/>
        </w:rPr>
        <w:t xml:space="preserve">, </w:t>
      </w:r>
      <w:r w:rsidRPr="007A3BFF">
        <w:rPr>
          <w:sz w:val="16"/>
          <w:szCs w:val="16"/>
        </w:rPr>
        <w:t xml:space="preserve">párr. </w:t>
      </w:r>
      <w:r>
        <w:rPr>
          <w:sz w:val="16"/>
          <w:szCs w:val="16"/>
        </w:rPr>
        <w:t>251</w:t>
      </w:r>
      <w:r w:rsidRPr="007A3BFF">
        <w:rPr>
          <w:sz w:val="16"/>
          <w:szCs w:val="16"/>
        </w:rPr>
        <w:t xml:space="preserve">. </w:t>
      </w:r>
    </w:p>
  </w:footnote>
  <w:footnote w:id="74">
    <w:p w14:paraId="7EC0BBA4" w14:textId="48E1FF85" w:rsidR="00997C54" w:rsidRPr="007A3BFF" w:rsidRDefault="00997C54" w:rsidP="003E34C2">
      <w:pPr>
        <w:pStyle w:val="Textonotapie"/>
        <w:rPr>
          <w:iCs/>
          <w:sz w:val="16"/>
          <w:szCs w:val="16"/>
        </w:rPr>
      </w:pPr>
      <w:r w:rsidRPr="007A3BFF">
        <w:rPr>
          <w:iCs/>
          <w:sz w:val="16"/>
          <w:szCs w:val="16"/>
          <w:vertAlign w:val="superscript"/>
        </w:rPr>
        <w:footnoteRef/>
      </w:r>
      <w:r w:rsidRPr="007A3BFF">
        <w:rPr>
          <w:iCs/>
          <w:sz w:val="16"/>
          <w:szCs w:val="16"/>
          <w:vertAlign w:val="superscript"/>
        </w:rPr>
        <w:t xml:space="preserve"> </w:t>
      </w:r>
      <w:r w:rsidRPr="007A3BFF">
        <w:rPr>
          <w:i/>
          <w:iCs/>
          <w:sz w:val="16"/>
          <w:szCs w:val="16"/>
        </w:rPr>
        <w:tab/>
        <w:t>Cfr. Caso Garcí</w:t>
      </w:r>
      <w:r>
        <w:rPr>
          <w:i/>
          <w:iCs/>
          <w:sz w:val="16"/>
          <w:szCs w:val="16"/>
        </w:rPr>
        <w:t xml:space="preserve">a </w:t>
      </w:r>
      <w:proofErr w:type="spellStart"/>
      <w:r>
        <w:rPr>
          <w:i/>
          <w:iCs/>
          <w:sz w:val="16"/>
          <w:szCs w:val="16"/>
        </w:rPr>
        <w:t>Asto</w:t>
      </w:r>
      <w:proofErr w:type="spellEnd"/>
      <w:r>
        <w:rPr>
          <w:i/>
          <w:iCs/>
          <w:sz w:val="16"/>
          <w:szCs w:val="16"/>
        </w:rPr>
        <w:t xml:space="preserve"> y Ramírez Rojas Vs. Perú, supra</w:t>
      </w:r>
      <w:r w:rsidRPr="007A3BFF">
        <w:rPr>
          <w:i/>
          <w:iCs/>
          <w:sz w:val="16"/>
          <w:szCs w:val="16"/>
        </w:rPr>
        <w:t xml:space="preserve">, </w:t>
      </w:r>
      <w:r w:rsidRPr="000F6C48">
        <w:rPr>
          <w:iCs/>
          <w:sz w:val="16"/>
          <w:szCs w:val="16"/>
        </w:rPr>
        <w:t>párr. 128</w:t>
      </w:r>
      <w:r w:rsidRPr="007A3BFF">
        <w:rPr>
          <w:sz w:val="16"/>
          <w:szCs w:val="16"/>
        </w:rPr>
        <w:t xml:space="preserve">, y </w:t>
      </w:r>
      <w:r w:rsidRPr="007A3BFF">
        <w:rPr>
          <w:i/>
          <w:sz w:val="16"/>
          <w:szCs w:val="16"/>
        </w:rPr>
        <w:t>Caso Mujeres Víctimas de Tortura Sexual en Atenco Vs. México</w:t>
      </w:r>
      <w:r w:rsidRPr="007A3BFF">
        <w:rPr>
          <w:sz w:val="16"/>
          <w:szCs w:val="16"/>
        </w:rPr>
        <w:t xml:space="preserve">, </w:t>
      </w:r>
      <w:r w:rsidRPr="000F6C48">
        <w:rPr>
          <w:i/>
          <w:sz w:val="16"/>
          <w:szCs w:val="16"/>
        </w:rPr>
        <w:t>supra</w:t>
      </w:r>
      <w:r>
        <w:rPr>
          <w:sz w:val="16"/>
          <w:szCs w:val="16"/>
        </w:rPr>
        <w:t xml:space="preserve">, </w:t>
      </w:r>
      <w:r w:rsidRPr="007A3BFF">
        <w:rPr>
          <w:sz w:val="16"/>
          <w:szCs w:val="16"/>
        </w:rPr>
        <w:t xml:space="preserve">párr. </w:t>
      </w:r>
      <w:r>
        <w:rPr>
          <w:sz w:val="16"/>
          <w:szCs w:val="16"/>
        </w:rPr>
        <w:t>251</w:t>
      </w:r>
      <w:r w:rsidRPr="007A3BFF">
        <w:rPr>
          <w:sz w:val="16"/>
          <w:szCs w:val="16"/>
        </w:rPr>
        <w:t>.</w:t>
      </w:r>
    </w:p>
  </w:footnote>
  <w:footnote w:id="75">
    <w:p w14:paraId="42EB8A59" w14:textId="5AA765B1" w:rsidR="00997C54" w:rsidRPr="007A3BFF" w:rsidRDefault="00997C54" w:rsidP="003E34C2">
      <w:pPr>
        <w:spacing w:line="240" w:lineRule="auto"/>
        <w:rPr>
          <w:rFonts w:cs="Calibri"/>
          <w:sz w:val="16"/>
          <w:szCs w:val="16"/>
        </w:rPr>
      </w:pPr>
      <w:r w:rsidRPr="007A3BFF">
        <w:rPr>
          <w:rStyle w:val="Refdenotaalpie"/>
          <w:rFonts w:cs="Calibri"/>
          <w:sz w:val="16"/>
          <w:szCs w:val="16"/>
        </w:rPr>
        <w:footnoteRef/>
      </w:r>
      <w:r w:rsidRPr="007A3BFF">
        <w:rPr>
          <w:rFonts w:cs="Calibri"/>
          <w:bCs/>
          <w:sz w:val="16"/>
          <w:szCs w:val="16"/>
        </w:rPr>
        <w:t xml:space="preserve"> </w:t>
      </w:r>
      <w:r w:rsidRPr="007A3BFF">
        <w:rPr>
          <w:rFonts w:cs="Calibri"/>
          <w:bCs/>
          <w:sz w:val="16"/>
          <w:szCs w:val="16"/>
        </w:rPr>
        <w:tab/>
      </w:r>
      <w:r w:rsidRPr="007A3BFF">
        <w:rPr>
          <w:i/>
          <w:sz w:val="16"/>
          <w:szCs w:val="16"/>
        </w:rPr>
        <w:t>Cfr</w:t>
      </w:r>
      <w:r w:rsidRPr="007A3BFF">
        <w:rPr>
          <w:sz w:val="16"/>
          <w:szCs w:val="16"/>
        </w:rPr>
        <w:t xml:space="preserve">. </w:t>
      </w:r>
      <w:r>
        <w:rPr>
          <w:i/>
          <w:sz w:val="16"/>
          <w:szCs w:val="16"/>
        </w:rPr>
        <w:t>Caso J. Vs. Perú, supra</w:t>
      </w:r>
      <w:r w:rsidRPr="000F6C48">
        <w:rPr>
          <w:sz w:val="16"/>
          <w:szCs w:val="16"/>
        </w:rPr>
        <w:t>, párr. 159.</w:t>
      </w:r>
      <w:r w:rsidRPr="000F6C48">
        <w:rPr>
          <w:rFonts w:cs="Calibri"/>
          <w:bCs/>
          <w:sz w:val="16"/>
          <w:szCs w:val="16"/>
        </w:rPr>
        <w:tab/>
      </w:r>
    </w:p>
  </w:footnote>
  <w:footnote w:id="76">
    <w:p w14:paraId="61275744" w14:textId="3104EB90" w:rsidR="00997C54" w:rsidRPr="007A3BFF" w:rsidRDefault="00997C54" w:rsidP="003E34C2">
      <w:pPr>
        <w:pStyle w:val="Textonotapie"/>
        <w:rPr>
          <w:sz w:val="16"/>
          <w:szCs w:val="16"/>
        </w:rPr>
      </w:pPr>
      <w:r w:rsidRPr="007A3BFF">
        <w:rPr>
          <w:iCs/>
          <w:sz w:val="16"/>
          <w:szCs w:val="16"/>
          <w:vertAlign w:val="superscript"/>
        </w:rPr>
        <w:footnoteRef/>
      </w:r>
      <w:r w:rsidRPr="007A3BFF">
        <w:rPr>
          <w:iCs/>
          <w:sz w:val="16"/>
          <w:szCs w:val="16"/>
          <w:vertAlign w:val="superscript"/>
        </w:rPr>
        <w:t xml:space="preserve"> </w:t>
      </w:r>
      <w:r w:rsidRPr="007A3BFF">
        <w:rPr>
          <w:sz w:val="16"/>
          <w:szCs w:val="16"/>
        </w:rPr>
        <w:tab/>
      </w:r>
      <w:r w:rsidRPr="007A3BFF">
        <w:rPr>
          <w:i/>
          <w:sz w:val="16"/>
          <w:szCs w:val="16"/>
        </w:rPr>
        <w:t>Cfr</w:t>
      </w:r>
      <w:r w:rsidRPr="007A3BFF">
        <w:rPr>
          <w:sz w:val="16"/>
          <w:szCs w:val="16"/>
        </w:rPr>
        <w:t xml:space="preserve">. Solicitud del Juzgado Nacional en lo Criminal y Correccional Federal </w:t>
      </w:r>
      <w:r>
        <w:rPr>
          <w:sz w:val="16"/>
          <w:szCs w:val="16"/>
        </w:rPr>
        <w:t>No.</w:t>
      </w:r>
      <w:r w:rsidRPr="007A3BFF">
        <w:rPr>
          <w:sz w:val="16"/>
          <w:szCs w:val="16"/>
        </w:rPr>
        <w:t xml:space="preserve"> 9, de 7 de junio de 1994 (expediente de prueba, folios 5755 y 5756). </w:t>
      </w:r>
    </w:p>
  </w:footnote>
  <w:footnote w:id="77">
    <w:p w14:paraId="3D4BAADD" w14:textId="6750D012" w:rsidR="00997C54" w:rsidRPr="007A3BFF" w:rsidRDefault="00997C54" w:rsidP="003E34C2">
      <w:pPr>
        <w:pStyle w:val="Textonotapie"/>
        <w:rPr>
          <w:i/>
          <w:sz w:val="16"/>
          <w:szCs w:val="16"/>
        </w:rPr>
      </w:pPr>
      <w:r w:rsidRPr="007A3BFF">
        <w:rPr>
          <w:iCs/>
          <w:sz w:val="16"/>
          <w:szCs w:val="16"/>
          <w:vertAlign w:val="superscript"/>
        </w:rPr>
        <w:footnoteRef/>
      </w:r>
      <w:r w:rsidRPr="007A3BFF">
        <w:rPr>
          <w:i/>
          <w:sz w:val="16"/>
          <w:szCs w:val="16"/>
        </w:rPr>
        <w:t xml:space="preserve"> </w:t>
      </w:r>
      <w:r w:rsidRPr="007A3BFF">
        <w:rPr>
          <w:i/>
          <w:sz w:val="16"/>
          <w:szCs w:val="16"/>
        </w:rPr>
        <w:tab/>
      </w:r>
      <w:r w:rsidRPr="007A3BFF">
        <w:rPr>
          <w:i/>
          <w:iCs/>
          <w:sz w:val="16"/>
          <w:szCs w:val="16"/>
        </w:rPr>
        <w:t xml:space="preserve">Cfr. </w:t>
      </w:r>
      <w:r>
        <w:rPr>
          <w:color w:val="000000"/>
          <w:sz w:val="16"/>
          <w:szCs w:val="16"/>
        </w:rPr>
        <w:t>Resolución del sumario No. 1</w:t>
      </w:r>
      <w:r w:rsidRPr="007A3BFF">
        <w:rPr>
          <w:color w:val="000000"/>
          <w:sz w:val="16"/>
          <w:szCs w:val="16"/>
        </w:rPr>
        <w:t xml:space="preserve">030 decretando el procesamiento del </w:t>
      </w:r>
      <w:r>
        <w:rPr>
          <w:color w:val="000000"/>
          <w:sz w:val="16"/>
          <w:szCs w:val="16"/>
        </w:rPr>
        <w:t>señor</w:t>
      </w:r>
      <w:r w:rsidRPr="007A3BFF">
        <w:rPr>
          <w:color w:val="000000"/>
          <w:sz w:val="16"/>
          <w:szCs w:val="16"/>
        </w:rPr>
        <w:t xml:space="preserve">. Jenkins y otros, de 29 de junio de 1994. </w:t>
      </w:r>
      <w:r w:rsidRPr="007A3BFF">
        <w:rPr>
          <w:sz w:val="16"/>
          <w:szCs w:val="16"/>
        </w:rPr>
        <w:t>(expediente de prueba, folio 586</w:t>
      </w:r>
      <w:r>
        <w:rPr>
          <w:sz w:val="16"/>
          <w:szCs w:val="16"/>
        </w:rPr>
        <w:t>8 y 5869</w:t>
      </w:r>
      <w:r w:rsidRPr="007A3BFF">
        <w:rPr>
          <w:sz w:val="16"/>
          <w:szCs w:val="16"/>
        </w:rPr>
        <w:t>).</w:t>
      </w:r>
    </w:p>
  </w:footnote>
  <w:footnote w:id="78">
    <w:p w14:paraId="1AE6ADFD" w14:textId="62F5187B" w:rsidR="00997C54" w:rsidRPr="007A3BFF" w:rsidRDefault="00997C54" w:rsidP="003E34C2">
      <w:pPr>
        <w:pStyle w:val="Textonotapie"/>
        <w:rPr>
          <w:sz w:val="16"/>
          <w:szCs w:val="16"/>
          <w:lang w:val="es-CR"/>
        </w:rPr>
      </w:pPr>
      <w:r w:rsidRPr="007A3BFF">
        <w:rPr>
          <w:rStyle w:val="Refdenotaalpie"/>
          <w:sz w:val="16"/>
          <w:szCs w:val="16"/>
        </w:rPr>
        <w:footnoteRef/>
      </w:r>
      <w:r w:rsidRPr="007A3BFF">
        <w:rPr>
          <w:sz w:val="16"/>
          <w:szCs w:val="16"/>
        </w:rPr>
        <w:t xml:space="preserve"> </w:t>
      </w:r>
      <w:r w:rsidRPr="007A3BFF">
        <w:rPr>
          <w:sz w:val="16"/>
          <w:szCs w:val="16"/>
        </w:rPr>
        <w:tab/>
      </w:r>
      <w:r w:rsidRPr="007A3BFF">
        <w:rPr>
          <w:i/>
          <w:iCs/>
          <w:sz w:val="16"/>
          <w:szCs w:val="16"/>
        </w:rPr>
        <w:t xml:space="preserve">Cfr. </w:t>
      </w:r>
      <w:r>
        <w:rPr>
          <w:color w:val="000000"/>
          <w:sz w:val="16"/>
          <w:szCs w:val="16"/>
        </w:rPr>
        <w:t>Resolución del sumario No. 1</w:t>
      </w:r>
      <w:r w:rsidRPr="007A3BFF">
        <w:rPr>
          <w:color w:val="000000"/>
          <w:sz w:val="16"/>
          <w:szCs w:val="16"/>
        </w:rPr>
        <w:t xml:space="preserve">030 decretando el procesamiento del </w:t>
      </w:r>
      <w:r>
        <w:rPr>
          <w:color w:val="000000"/>
          <w:sz w:val="16"/>
          <w:szCs w:val="16"/>
        </w:rPr>
        <w:t>señor</w:t>
      </w:r>
      <w:r w:rsidRPr="007A3BFF">
        <w:rPr>
          <w:color w:val="000000"/>
          <w:sz w:val="16"/>
          <w:szCs w:val="16"/>
        </w:rPr>
        <w:t xml:space="preserve"> Jenkins y otros, de 29 de junio de 1994 </w:t>
      </w:r>
      <w:r w:rsidRPr="007A3BFF">
        <w:rPr>
          <w:sz w:val="16"/>
          <w:szCs w:val="16"/>
        </w:rPr>
        <w:t>(expediente de prueba, folio 5864).</w:t>
      </w:r>
    </w:p>
  </w:footnote>
  <w:footnote w:id="79">
    <w:p w14:paraId="1EAD8440" w14:textId="2AB71F6D" w:rsidR="00997C54" w:rsidRPr="007A3BFF" w:rsidRDefault="00997C54" w:rsidP="003E34C2">
      <w:pPr>
        <w:pStyle w:val="Textonotapie"/>
        <w:rPr>
          <w:sz w:val="16"/>
          <w:szCs w:val="16"/>
        </w:rPr>
      </w:pPr>
      <w:r w:rsidRPr="007A3BFF">
        <w:rPr>
          <w:rStyle w:val="Refdenotaalpie"/>
          <w:sz w:val="16"/>
          <w:szCs w:val="16"/>
        </w:rPr>
        <w:footnoteRef/>
      </w:r>
      <w:r w:rsidRPr="007A3BFF">
        <w:rPr>
          <w:sz w:val="16"/>
          <w:szCs w:val="16"/>
        </w:rPr>
        <w:t xml:space="preserve"> </w:t>
      </w:r>
      <w:r w:rsidRPr="007A3BFF">
        <w:rPr>
          <w:sz w:val="16"/>
          <w:szCs w:val="16"/>
        </w:rPr>
        <w:tab/>
      </w:r>
      <w:r w:rsidRPr="007A3BFF">
        <w:rPr>
          <w:i/>
          <w:iCs/>
          <w:sz w:val="16"/>
          <w:szCs w:val="16"/>
        </w:rPr>
        <w:t xml:space="preserve">Cfr. </w:t>
      </w:r>
      <w:r w:rsidRPr="007A3BFF">
        <w:rPr>
          <w:color w:val="000000"/>
          <w:sz w:val="16"/>
          <w:szCs w:val="16"/>
        </w:rPr>
        <w:t>Resolución del sumario No. 1030 decretando el procesamiento del Sr. Jenkins y</w:t>
      </w:r>
      <w:r>
        <w:rPr>
          <w:color w:val="000000"/>
          <w:sz w:val="16"/>
          <w:szCs w:val="16"/>
        </w:rPr>
        <w:t xml:space="preserve"> otros, de 29 de junio de 1994</w:t>
      </w:r>
      <w:r w:rsidRPr="007A3BFF">
        <w:rPr>
          <w:color w:val="000000"/>
          <w:sz w:val="16"/>
          <w:szCs w:val="16"/>
        </w:rPr>
        <w:t xml:space="preserve"> </w:t>
      </w:r>
      <w:r w:rsidRPr="007A3BFF">
        <w:rPr>
          <w:sz w:val="16"/>
          <w:szCs w:val="16"/>
        </w:rPr>
        <w:t>(expediente de prueba, folio</w:t>
      </w:r>
      <w:r>
        <w:rPr>
          <w:sz w:val="16"/>
          <w:szCs w:val="16"/>
        </w:rPr>
        <w:t xml:space="preserve">s 5864 y </w:t>
      </w:r>
      <w:r w:rsidRPr="007A3BFF">
        <w:rPr>
          <w:sz w:val="16"/>
          <w:szCs w:val="16"/>
        </w:rPr>
        <w:t>5865).</w:t>
      </w:r>
    </w:p>
  </w:footnote>
  <w:footnote w:id="80">
    <w:p w14:paraId="01B74DB7" w14:textId="24621B1F" w:rsidR="00997C54" w:rsidRPr="007A3BFF" w:rsidRDefault="00997C54" w:rsidP="003E34C2">
      <w:pPr>
        <w:pStyle w:val="Textonotapie"/>
        <w:rPr>
          <w:sz w:val="16"/>
          <w:szCs w:val="16"/>
        </w:rPr>
      </w:pPr>
      <w:r w:rsidRPr="007A3BFF">
        <w:rPr>
          <w:rStyle w:val="Refdenotaalpie"/>
          <w:sz w:val="16"/>
          <w:szCs w:val="16"/>
        </w:rPr>
        <w:footnoteRef/>
      </w:r>
      <w:r w:rsidRPr="007A3BFF">
        <w:rPr>
          <w:sz w:val="16"/>
          <w:szCs w:val="16"/>
        </w:rPr>
        <w:t xml:space="preserve"> </w:t>
      </w:r>
      <w:r w:rsidRPr="007A3BFF">
        <w:rPr>
          <w:sz w:val="16"/>
          <w:szCs w:val="16"/>
        </w:rPr>
        <w:tab/>
      </w:r>
      <w:r w:rsidRPr="007A3BFF">
        <w:rPr>
          <w:i/>
          <w:iCs/>
          <w:sz w:val="16"/>
          <w:szCs w:val="16"/>
        </w:rPr>
        <w:t xml:space="preserve">Cfr. </w:t>
      </w:r>
      <w:r w:rsidRPr="007A3BFF">
        <w:rPr>
          <w:color w:val="000000"/>
          <w:sz w:val="16"/>
          <w:szCs w:val="16"/>
        </w:rPr>
        <w:t xml:space="preserve">Resolución del sumario No. 1030 decretando el procesamiento del Sr. Jenkins </w:t>
      </w:r>
      <w:r>
        <w:rPr>
          <w:color w:val="000000"/>
          <w:sz w:val="16"/>
          <w:szCs w:val="16"/>
        </w:rPr>
        <w:t>y otros, de 29 de junio de 1994</w:t>
      </w:r>
      <w:r w:rsidRPr="007A3BFF">
        <w:rPr>
          <w:color w:val="000000"/>
          <w:sz w:val="16"/>
          <w:szCs w:val="16"/>
        </w:rPr>
        <w:t xml:space="preserve"> </w:t>
      </w:r>
      <w:r w:rsidRPr="007A3BFF">
        <w:rPr>
          <w:sz w:val="16"/>
          <w:szCs w:val="16"/>
        </w:rPr>
        <w:t>(expediente de prueba, folio 5866).</w:t>
      </w:r>
    </w:p>
  </w:footnote>
  <w:footnote w:id="81">
    <w:p w14:paraId="0DCCD90D" w14:textId="5A8814A7" w:rsidR="00997C54" w:rsidRPr="007A3BFF" w:rsidRDefault="00997C54" w:rsidP="003E34C2">
      <w:pPr>
        <w:pStyle w:val="Textonotapie"/>
        <w:rPr>
          <w:sz w:val="16"/>
          <w:szCs w:val="16"/>
        </w:rPr>
      </w:pPr>
      <w:r w:rsidRPr="007A3BFF">
        <w:rPr>
          <w:rStyle w:val="Refdenotaalpie"/>
          <w:sz w:val="16"/>
          <w:szCs w:val="16"/>
        </w:rPr>
        <w:footnoteRef/>
      </w:r>
      <w:r w:rsidRPr="007A3BFF">
        <w:rPr>
          <w:sz w:val="16"/>
          <w:szCs w:val="16"/>
        </w:rPr>
        <w:t xml:space="preserve"> </w:t>
      </w:r>
      <w:r w:rsidRPr="007A3BFF">
        <w:rPr>
          <w:sz w:val="16"/>
          <w:szCs w:val="16"/>
        </w:rPr>
        <w:tab/>
      </w:r>
      <w:r w:rsidRPr="007A3BFF">
        <w:rPr>
          <w:i/>
          <w:iCs/>
          <w:sz w:val="16"/>
          <w:szCs w:val="16"/>
        </w:rPr>
        <w:t xml:space="preserve">Cfr. </w:t>
      </w:r>
      <w:r w:rsidRPr="007A3BFF">
        <w:rPr>
          <w:sz w:val="16"/>
          <w:szCs w:val="16"/>
        </w:rPr>
        <w:t>Sentencia del Juzgado Contencioso Administrativo Federal No. 10 rechazando la demanda interpuesta de daños y perjuicios por el Sr. Jenkins el 30 de abril de 2007 (expediente de prueba, folio 5742).</w:t>
      </w:r>
    </w:p>
  </w:footnote>
  <w:footnote w:id="82">
    <w:p w14:paraId="06AF84CB" w14:textId="56AA59B1" w:rsidR="00997C54" w:rsidRPr="007A3BFF" w:rsidRDefault="00997C54" w:rsidP="003E34C2">
      <w:pPr>
        <w:pStyle w:val="Textonotapie"/>
        <w:tabs>
          <w:tab w:val="left" w:pos="567"/>
        </w:tabs>
        <w:rPr>
          <w:sz w:val="16"/>
          <w:szCs w:val="16"/>
          <w:lang w:val="es-CR"/>
        </w:rPr>
      </w:pPr>
      <w:r w:rsidRPr="007A3BFF">
        <w:rPr>
          <w:rStyle w:val="Refdenotaalpie"/>
          <w:sz w:val="16"/>
          <w:szCs w:val="16"/>
        </w:rPr>
        <w:footnoteRef/>
      </w:r>
      <w:r w:rsidRPr="007A3BFF">
        <w:rPr>
          <w:sz w:val="16"/>
          <w:szCs w:val="16"/>
        </w:rPr>
        <w:t xml:space="preserve"> </w:t>
      </w:r>
      <w:r w:rsidRPr="007A3BFF">
        <w:rPr>
          <w:sz w:val="16"/>
          <w:szCs w:val="16"/>
          <w:lang w:val="es-CR"/>
        </w:rPr>
        <w:tab/>
      </w:r>
      <w:r w:rsidRPr="007A3BFF">
        <w:rPr>
          <w:i/>
          <w:sz w:val="16"/>
          <w:szCs w:val="16"/>
        </w:rPr>
        <w:t>Cfr. Caso Chaparro Álvarez y Lapo Íñiguez Vs. Ecuador</w:t>
      </w:r>
      <w:r w:rsidRPr="007A3BFF">
        <w:rPr>
          <w:sz w:val="16"/>
          <w:szCs w:val="16"/>
        </w:rPr>
        <w:t>,</w:t>
      </w:r>
      <w:r>
        <w:rPr>
          <w:sz w:val="16"/>
          <w:szCs w:val="16"/>
        </w:rPr>
        <w:t xml:space="preserve"> </w:t>
      </w:r>
      <w:r w:rsidRPr="00716DEE">
        <w:rPr>
          <w:i/>
          <w:sz w:val="16"/>
          <w:szCs w:val="16"/>
        </w:rPr>
        <w:t>supra</w:t>
      </w:r>
      <w:r>
        <w:rPr>
          <w:sz w:val="16"/>
          <w:szCs w:val="16"/>
        </w:rPr>
        <w:t>,</w:t>
      </w:r>
      <w:r w:rsidRPr="007A3BFF">
        <w:rPr>
          <w:sz w:val="16"/>
          <w:szCs w:val="16"/>
        </w:rPr>
        <w:t xml:space="preserve"> párr. 92, </w:t>
      </w:r>
      <w:r w:rsidRPr="007A3BFF">
        <w:rPr>
          <w:i/>
          <w:sz w:val="16"/>
          <w:szCs w:val="16"/>
        </w:rPr>
        <w:t>Caso Argüelles y otros Vs. Argentina. Excepciones Preliminares, Fondo, Reparaciones y Costas.</w:t>
      </w:r>
      <w:r w:rsidRPr="007A3BFF">
        <w:rPr>
          <w:sz w:val="16"/>
          <w:szCs w:val="16"/>
        </w:rPr>
        <w:t xml:space="preserve"> Sentencia de 20 de noviembre de 2014. </w:t>
      </w:r>
      <w:r w:rsidRPr="00B465BA">
        <w:rPr>
          <w:sz w:val="16"/>
          <w:szCs w:val="16"/>
          <w:lang w:val="es-CR"/>
        </w:rPr>
        <w:t xml:space="preserve">Serie C No. 288, párr. 120, </w:t>
      </w:r>
      <w:r w:rsidRPr="00B465BA">
        <w:rPr>
          <w:i/>
          <w:sz w:val="16"/>
          <w:szCs w:val="16"/>
          <w:lang w:val="es-CR"/>
        </w:rPr>
        <w:t xml:space="preserve">Caso Wong Ho </w:t>
      </w:r>
      <w:r w:rsidRPr="00B465BA">
        <w:rPr>
          <w:i/>
          <w:sz w:val="16"/>
          <w:szCs w:val="16"/>
          <w:lang w:val="es-CR"/>
        </w:rPr>
        <w:t>Wing Vs. Perú, supra,</w:t>
      </w:r>
      <w:r w:rsidRPr="007A3BFF">
        <w:rPr>
          <w:sz w:val="16"/>
          <w:szCs w:val="16"/>
        </w:rPr>
        <w:t xml:space="preserve"> párr. 248, y </w:t>
      </w:r>
      <w:r w:rsidRPr="007A3BFF">
        <w:rPr>
          <w:i/>
          <w:sz w:val="16"/>
          <w:szCs w:val="16"/>
        </w:rPr>
        <w:t xml:space="preserve">Caso </w:t>
      </w:r>
      <w:proofErr w:type="spellStart"/>
      <w:r w:rsidRPr="007A3BFF">
        <w:rPr>
          <w:i/>
          <w:sz w:val="16"/>
          <w:szCs w:val="16"/>
        </w:rPr>
        <w:t>Amrhein</w:t>
      </w:r>
      <w:proofErr w:type="spellEnd"/>
      <w:r w:rsidRPr="007A3BFF">
        <w:rPr>
          <w:i/>
          <w:sz w:val="16"/>
          <w:szCs w:val="16"/>
        </w:rPr>
        <w:t xml:space="preserve"> y otros Vs. Costa Rica</w:t>
      </w:r>
      <w:r>
        <w:rPr>
          <w:i/>
          <w:sz w:val="16"/>
          <w:szCs w:val="16"/>
        </w:rPr>
        <w:t>, supra</w:t>
      </w:r>
      <w:r w:rsidRPr="007A3BFF">
        <w:rPr>
          <w:sz w:val="16"/>
          <w:szCs w:val="16"/>
        </w:rPr>
        <w:t>, párr. 356.</w:t>
      </w:r>
    </w:p>
  </w:footnote>
  <w:footnote w:id="83">
    <w:p w14:paraId="250B958D" w14:textId="3CAFB9E8" w:rsidR="00997C54" w:rsidRPr="007A3BFF" w:rsidRDefault="00997C54" w:rsidP="003E34C2">
      <w:pPr>
        <w:pStyle w:val="Textonotapie"/>
        <w:tabs>
          <w:tab w:val="left" w:pos="567"/>
        </w:tabs>
        <w:rPr>
          <w:sz w:val="16"/>
          <w:szCs w:val="16"/>
        </w:rPr>
      </w:pPr>
      <w:r w:rsidRPr="007A3BFF">
        <w:rPr>
          <w:iCs/>
          <w:sz w:val="16"/>
          <w:szCs w:val="16"/>
          <w:vertAlign w:val="superscript"/>
        </w:rPr>
        <w:footnoteRef/>
      </w:r>
      <w:r w:rsidRPr="007A3BFF">
        <w:rPr>
          <w:iCs/>
          <w:sz w:val="16"/>
          <w:szCs w:val="16"/>
          <w:vertAlign w:val="superscript"/>
        </w:rPr>
        <w:t xml:space="preserve"> </w:t>
      </w:r>
      <w:r w:rsidRPr="007A3BFF">
        <w:rPr>
          <w:i/>
          <w:sz w:val="16"/>
          <w:szCs w:val="16"/>
        </w:rPr>
        <w:tab/>
        <w:t xml:space="preserve">Cfr. </w:t>
      </w:r>
      <w:r w:rsidRPr="00716DEE">
        <w:rPr>
          <w:i/>
          <w:sz w:val="16"/>
          <w:szCs w:val="16"/>
        </w:rPr>
        <w:t xml:space="preserve">Caso </w:t>
      </w:r>
      <w:proofErr w:type="spellStart"/>
      <w:r w:rsidRPr="00716DEE">
        <w:rPr>
          <w:i/>
          <w:sz w:val="16"/>
          <w:szCs w:val="16"/>
        </w:rPr>
        <w:t>Norín</w:t>
      </w:r>
      <w:proofErr w:type="spellEnd"/>
      <w:r w:rsidRPr="00716DEE">
        <w:rPr>
          <w:i/>
          <w:sz w:val="16"/>
          <w:szCs w:val="16"/>
        </w:rPr>
        <w:t xml:space="preserve"> </w:t>
      </w:r>
      <w:proofErr w:type="spellStart"/>
      <w:r w:rsidRPr="00716DEE">
        <w:rPr>
          <w:i/>
          <w:sz w:val="16"/>
          <w:szCs w:val="16"/>
        </w:rPr>
        <w:t>Catrimán</w:t>
      </w:r>
      <w:proofErr w:type="spellEnd"/>
      <w:r w:rsidRPr="00716DEE">
        <w:rPr>
          <w:i/>
          <w:sz w:val="16"/>
          <w:szCs w:val="16"/>
        </w:rPr>
        <w:t xml:space="preserve"> y otros (Dirigentes, Miembros y Activista del Pueblo Indígena Mapuche) Vs. Chile. Fondo, Reparaciones y Costas. </w:t>
      </w:r>
      <w:r w:rsidRPr="00716DEE">
        <w:rPr>
          <w:sz w:val="16"/>
          <w:szCs w:val="16"/>
        </w:rPr>
        <w:t>Sentencia de 29 de mayo de 2014. Serie C No. 279</w:t>
      </w:r>
      <w:r w:rsidRPr="007A3BFF">
        <w:rPr>
          <w:i/>
          <w:sz w:val="16"/>
          <w:szCs w:val="16"/>
        </w:rPr>
        <w:t xml:space="preserve">, </w:t>
      </w:r>
      <w:r w:rsidRPr="007A3BFF">
        <w:rPr>
          <w:sz w:val="16"/>
          <w:szCs w:val="16"/>
        </w:rPr>
        <w:t>párr. 311</w:t>
      </w:r>
      <w:r>
        <w:rPr>
          <w:sz w:val="16"/>
          <w:szCs w:val="16"/>
        </w:rPr>
        <w:t xml:space="preserve">, y </w:t>
      </w:r>
      <w:r w:rsidRPr="00FF4308">
        <w:rPr>
          <w:i/>
          <w:sz w:val="16"/>
          <w:szCs w:val="16"/>
        </w:rPr>
        <w:t>Caso Mujeres Víctimas de Tortura Sexual en Atenco Vs. México</w:t>
      </w:r>
      <w:r>
        <w:rPr>
          <w:i/>
          <w:sz w:val="16"/>
          <w:szCs w:val="16"/>
        </w:rPr>
        <w:t>, supra</w:t>
      </w:r>
      <w:r>
        <w:rPr>
          <w:sz w:val="16"/>
          <w:szCs w:val="16"/>
        </w:rPr>
        <w:t>, párr. 255.</w:t>
      </w:r>
    </w:p>
  </w:footnote>
  <w:footnote w:id="84">
    <w:p w14:paraId="48751791" w14:textId="5B9194F0" w:rsidR="00997C54" w:rsidRPr="007A3BFF" w:rsidRDefault="00997C54" w:rsidP="003E34C2">
      <w:pPr>
        <w:pStyle w:val="Textonotapie"/>
        <w:tabs>
          <w:tab w:val="left" w:pos="567"/>
        </w:tabs>
        <w:rPr>
          <w:i/>
          <w:sz w:val="16"/>
          <w:szCs w:val="16"/>
        </w:rPr>
      </w:pPr>
      <w:r w:rsidRPr="007A3BFF">
        <w:rPr>
          <w:iCs/>
          <w:sz w:val="16"/>
          <w:szCs w:val="16"/>
          <w:vertAlign w:val="superscript"/>
        </w:rPr>
        <w:footnoteRef/>
      </w:r>
      <w:r w:rsidRPr="007A3BFF">
        <w:rPr>
          <w:iCs/>
          <w:sz w:val="16"/>
          <w:szCs w:val="16"/>
          <w:vertAlign w:val="superscript"/>
        </w:rPr>
        <w:t xml:space="preserve"> </w:t>
      </w:r>
      <w:r w:rsidRPr="007A3BFF">
        <w:rPr>
          <w:i/>
          <w:sz w:val="16"/>
          <w:szCs w:val="16"/>
        </w:rPr>
        <w:tab/>
        <w:t xml:space="preserve">Cfr. Caso </w:t>
      </w:r>
      <w:proofErr w:type="spellStart"/>
      <w:r w:rsidRPr="007A3BFF">
        <w:rPr>
          <w:i/>
          <w:sz w:val="16"/>
          <w:szCs w:val="16"/>
        </w:rPr>
        <w:t>Amrhein</w:t>
      </w:r>
      <w:proofErr w:type="spellEnd"/>
      <w:r w:rsidRPr="007A3BFF">
        <w:rPr>
          <w:i/>
          <w:sz w:val="16"/>
          <w:szCs w:val="16"/>
        </w:rPr>
        <w:t xml:space="preserve"> y otros Vs. Costa Rica, supra, </w:t>
      </w:r>
      <w:r w:rsidRPr="007A3BFF">
        <w:rPr>
          <w:sz w:val="16"/>
          <w:szCs w:val="16"/>
        </w:rPr>
        <w:t>párr. 362, y</w:t>
      </w:r>
      <w:r w:rsidRPr="007A3BFF">
        <w:rPr>
          <w:i/>
          <w:sz w:val="16"/>
          <w:szCs w:val="16"/>
        </w:rPr>
        <w:t xml:space="preserve"> </w:t>
      </w:r>
      <w:r w:rsidRPr="00560ED8">
        <w:rPr>
          <w:i/>
          <w:sz w:val="16"/>
          <w:szCs w:val="16"/>
        </w:rPr>
        <w:t>Caso Chaparro Álv</w:t>
      </w:r>
      <w:r>
        <w:rPr>
          <w:i/>
          <w:sz w:val="16"/>
          <w:szCs w:val="16"/>
        </w:rPr>
        <w:t>arez y Lapo Íñiguez Vs. Ecuador</w:t>
      </w:r>
      <w:r w:rsidRPr="00560ED8">
        <w:rPr>
          <w:sz w:val="16"/>
          <w:szCs w:val="16"/>
        </w:rPr>
        <w:t>,</w:t>
      </w:r>
      <w:r>
        <w:rPr>
          <w:sz w:val="16"/>
          <w:szCs w:val="16"/>
        </w:rPr>
        <w:t xml:space="preserve"> </w:t>
      </w:r>
      <w:r w:rsidRPr="00716DEE">
        <w:rPr>
          <w:i/>
          <w:sz w:val="16"/>
          <w:szCs w:val="16"/>
        </w:rPr>
        <w:t>supra</w:t>
      </w:r>
      <w:r>
        <w:rPr>
          <w:sz w:val="16"/>
          <w:szCs w:val="16"/>
        </w:rPr>
        <w:t>,</w:t>
      </w:r>
      <w:r w:rsidRPr="00560ED8">
        <w:rPr>
          <w:sz w:val="16"/>
          <w:szCs w:val="16"/>
        </w:rPr>
        <w:t xml:space="preserve"> </w:t>
      </w:r>
      <w:r w:rsidRPr="007A3BFF">
        <w:rPr>
          <w:sz w:val="16"/>
          <w:szCs w:val="16"/>
        </w:rPr>
        <w:t xml:space="preserve">párr. </w:t>
      </w:r>
      <w:r>
        <w:rPr>
          <w:sz w:val="16"/>
          <w:szCs w:val="16"/>
        </w:rPr>
        <w:t>117</w:t>
      </w:r>
      <w:r w:rsidRPr="007A3BFF">
        <w:rPr>
          <w:sz w:val="16"/>
          <w:szCs w:val="16"/>
        </w:rPr>
        <w:t>.</w:t>
      </w:r>
    </w:p>
  </w:footnote>
  <w:footnote w:id="85">
    <w:p w14:paraId="4F15EB3E" w14:textId="0DE2D920" w:rsidR="00997C54" w:rsidRPr="005C15DA" w:rsidRDefault="00997C54" w:rsidP="003E34C2">
      <w:pPr>
        <w:pStyle w:val="Textonotapie"/>
        <w:tabs>
          <w:tab w:val="left" w:pos="567"/>
        </w:tabs>
        <w:rPr>
          <w:sz w:val="16"/>
          <w:szCs w:val="16"/>
        </w:rPr>
      </w:pPr>
      <w:r w:rsidRPr="00560ED8">
        <w:rPr>
          <w:sz w:val="16"/>
          <w:szCs w:val="16"/>
          <w:vertAlign w:val="superscript"/>
        </w:rPr>
        <w:footnoteRef/>
      </w:r>
      <w:r w:rsidRPr="007A3BFF">
        <w:rPr>
          <w:i/>
          <w:sz w:val="16"/>
          <w:szCs w:val="16"/>
          <w:vertAlign w:val="superscript"/>
        </w:rPr>
        <w:t xml:space="preserve"> </w:t>
      </w:r>
      <w:r w:rsidRPr="007A3BFF">
        <w:rPr>
          <w:i/>
          <w:sz w:val="16"/>
          <w:szCs w:val="16"/>
        </w:rPr>
        <w:tab/>
        <w:t xml:space="preserve">Cfr. Caso </w:t>
      </w:r>
      <w:proofErr w:type="spellStart"/>
      <w:r w:rsidRPr="007A3BFF">
        <w:rPr>
          <w:i/>
          <w:sz w:val="16"/>
          <w:szCs w:val="16"/>
        </w:rPr>
        <w:t>Amrhein</w:t>
      </w:r>
      <w:proofErr w:type="spellEnd"/>
      <w:r w:rsidRPr="007A3BFF">
        <w:rPr>
          <w:i/>
          <w:sz w:val="16"/>
          <w:szCs w:val="16"/>
        </w:rPr>
        <w:t xml:space="preserve"> y otros Vs. Costa Rica, supra, </w:t>
      </w:r>
      <w:r w:rsidRPr="005C15DA">
        <w:rPr>
          <w:sz w:val="16"/>
          <w:szCs w:val="16"/>
        </w:rPr>
        <w:t xml:space="preserve">párr. </w:t>
      </w:r>
      <w:r w:rsidRPr="00560ED8">
        <w:rPr>
          <w:sz w:val="16"/>
          <w:szCs w:val="16"/>
          <w:lang w:val="es-CR"/>
        </w:rPr>
        <w:t>361,</w:t>
      </w:r>
      <w:r w:rsidRPr="00560ED8">
        <w:rPr>
          <w:i/>
          <w:sz w:val="16"/>
          <w:szCs w:val="16"/>
          <w:lang w:val="es-CR"/>
        </w:rPr>
        <w:t xml:space="preserve"> </w:t>
      </w:r>
      <w:r w:rsidRPr="00560ED8">
        <w:rPr>
          <w:sz w:val="16"/>
          <w:szCs w:val="16"/>
          <w:lang w:val="es-CR"/>
        </w:rPr>
        <w:t xml:space="preserve">y </w:t>
      </w:r>
      <w:r w:rsidRPr="00560ED8">
        <w:rPr>
          <w:i/>
          <w:sz w:val="16"/>
          <w:szCs w:val="16"/>
          <w:lang w:val="es-CR"/>
        </w:rPr>
        <w:t>Caso Argüelles y otros Vs. Argentina</w:t>
      </w:r>
      <w:r>
        <w:rPr>
          <w:i/>
          <w:sz w:val="16"/>
          <w:szCs w:val="16"/>
          <w:lang w:val="es-CR"/>
        </w:rPr>
        <w:t>, supra</w:t>
      </w:r>
      <w:r w:rsidRPr="009349C1">
        <w:rPr>
          <w:sz w:val="16"/>
          <w:szCs w:val="16"/>
          <w:lang w:val="es-CR"/>
        </w:rPr>
        <w:t>, párr. 129.</w:t>
      </w:r>
    </w:p>
  </w:footnote>
  <w:footnote w:id="86">
    <w:p w14:paraId="16EE9400" w14:textId="511E808C" w:rsidR="00997C54" w:rsidRPr="007A3BFF" w:rsidRDefault="00997C54" w:rsidP="003E34C2">
      <w:pPr>
        <w:pStyle w:val="Textonotapie"/>
        <w:tabs>
          <w:tab w:val="left" w:pos="567"/>
        </w:tabs>
        <w:rPr>
          <w:sz w:val="16"/>
          <w:szCs w:val="16"/>
          <w:lang w:val="es-CR"/>
        </w:rPr>
      </w:pPr>
      <w:r w:rsidRPr="00560ED8">
        <w:rPr>
          <w:sz w:val="16"/>
          <w:szCs w:val="16"/>
          <w:vertAlign w:val="superscript"/>
        </w:rPr>
        <w:footnoteRef/>
      </w:r>
      <w:r w:rsidRPr="00560ED8">
        <w:rPr>
          <w:sz w:val="16"/>
          <w:szCs w:val="16"/>
          <w:vertAlign w:val="superscript"/>
        </w:rPr>
        <w:t xml:space="preserve"> </w:t>
      </w:r>
      <w:r w:rsidRPr="007A3BFF">
        <w:rPr>
          <w:i/>
          <w:sz w:val="16"/>
          <w:szCs w:val="16"/>
        </w:rPr>
        <w:tab/>
        <w:t xml:space="preserve">Cfr. Caso </w:t>
      </w:r>
      <w:proofErr w:type="spellStart"/>
      <w:r w:rsidRPr="007A3BFF">
        <w:rPr>
          <w:i/>
          <w:sz w:val="16"/>
          <w:szCs w:val="16"/>
        </w:rPr>
        <w:t>Amrhein</w:t>
      </w:r>
      <w:proofErr w:type="spellEnd"/>
      <w:r w:rsidRPr="007A3BFF">
        <w:rPr>
          <w:i/>
          <w:sz w:val="16"/>
          <w:szCs w:val="16"/>
        </w:rPr>
        <w:t xml:space="preserve"> y otros Vs. Costa Rica, supra, </w:t>
      </w:r>
      <w:r w:rsidRPr="00597F47">
        <w:rPr>
          <w:sz w:val="16"/>
          <w:szCs w:val="16"/>
        </w:rPr>
        <w:t>párr. 362, y</w:t>
      </w:r>
      <w:r>
        <w:rPr>
          <w:i/>
          <w:sz w:val="16"/>
          <w:szCs w:val="16"/>
        </w:rPr>
        <w:t xml:space="preserve"> </w:t>
      </w:r>
      <w:r w:rsidRPr="00560ED8">
        <w:rPr>
          <w:i/>
          <w:sz w:val="16"/>
          <w:szCs w:val="16"/>
        </w:rPr>
        <w:t xml:space="preserve">Caso Bayarri Vs. Argentina. Excepción Preliminar, Fondo, Reparaciones y Costas. </w:t>
      </w:r>
      <w:r w:rsidRPr="00560ED8">
        <w:rPr>
          <w:sz w:val="16"/>
          <w:szCs w:val="16"/>
        </w:rPr>
        <w:t>Sentencia de 30 de octubre de 2008. Serie C No. 187, párr. 74.</w:t>
      </w:r>
    </w:p>
  </w:footnote>
  <w:footnote w:id="87">
    <w:p w14:paraId="62882D9E" w14:textId="7DFC186C" w:rsidR="00997C54" w:rsidRPr="007A3BFF" w:rsidRDefault="00997C54" w:rsidP="003E34C2">
      <w:pPr>
        <w:pStyle w:val="Textonotapie"/>
        <w:tabs>
          <w:tab w:val="left" w:pos="567"/>
        </w:tabs>
        <w:rPr>
          <w:sz w:val="16"/>
          <w:szCs w:val="16"/>
        </w:rPr>
      </w:pPr>
      <w:r w:rsidRPr="007A3BFF">
        <w:rPr>
          <w:iCs/>
          <w:sz w:val="16"/>
          <w:szCs w:val="16"/>
          <w:vertAlign w:val="superscript"/>
        </w:rPr>
        <w:footnoteRef/>
      </w:r>
      <w:r w:rsidRPr="007A3BFF">
        <w:rPr>
          <w:iCs/>
          <w:sz w:val="16"/>
          <w:szCs w:val="16"/>
          <w:vertAlign w:val="superscript"/>
        </w:rPr>
        <w:t xml:space="preserve"> </w:t>
      </w:r>
      <w:r w:rsidRPr="007A3BFF">
        <w:rPr>
          <w:i/>
          <w:sz w:val="16"/>
          <w:szCs w:val="16"/>
        </w:rPr>
        <w:tab/>
        <w:t xml:space="preserve">Cfr. Caso Chaparro Álvarez y Lapo Íñiguez vs. Ecuador, supra, </w:t>
      </w:r>
      <w:r w:rsidRPr="007A3BFF">
        <w:rPr>
          <w:sz w:val="16"/>
          <w:szCs w:val="16"/>
        </w:rPr>
        <w:t>párr. 107, y</w:t>
      </w:r>
      <w:r w:rsidRPr="007A3BFF">
        <w:rPr>
          <w:i/>
          <w:sz w:val="16"/>
          <w:szCs w:val="16"/>
        </w:rPr>
        <w:t xml:space="preserve"> </w:t>
      </w:r>
      <w:r w:rsidRPr="00560ED8">
        <w:rPr>
          <w:i/>
          <w:sz w:val="16"/>
          <w:szCs w:val="16"/>
        </w:rPr>
        <w:t>Caso Mujeres Víctimas de Tortura Sexual en Atenco Vs. México</w:t>
      </w:r>
      <w:r>
        <w:rPr>
          <w:i/>
          <w:sz w:val="16"/>
          <w:szCs w:val="16"/>
        </w:rPr>
        <w:t>, supra</w:t>
      </w:r>
      <w:r w:rsidRPr="00560ED8">
        <w:rPr>
          <w:sz w:val="16"/>
          <w:szCs w:val="16"/>
        </w:rPr>
        <w:t>, párr. 255.</w:t>
      </w:r>
      <w:r w:rsidRPr="007A3BFF">
        <w:rPr>
          <w:sz w:val="16"/>
          <w:szCs w:val="16"/>
        </w:rPr>
        <w:t xml:space="preserve"> </w:t>
      </w:r>
    </w:p>
  </w:footnote>
  <w:footnote w:id="88">
    <w:p w14:paraId="1D4B016F" w14:textId="72C8BAC4" w:rsidR="00997C54" w:rsidRPr="007A3BFF" w:rsidRDefault="00997C54" w:rsidP="003E34C2">
      <w:pPr>
        <w:pStyle w:val="Textonotapie"/>
        <w:tabs>
          <w:tab w:val="left" w:pos="567"/>
        </w:tabs>
        <w:rPr>
          <w:sz w:val="16"/>
          <w:szCs w:val="16"/>
        </w:rPr>
      </w:pPr>
      <w:r w:rsidRPr="007A3BFF">
        <w:rPr>
          <w:iCs/>
          <w:sz w:val="16"/>
          <w:szCs w:val="16"/>
          <w:vertAlign w:val="superscript"/>
        </w:rPr>
        <w:footnoteRef/>
      </w:r>
      <w:r w:rsidRPr="007A3BFF">
        <w:rPr>
          <w:i/>
          <w:sz w:val="16"/>
          <w:szCs w:val="16"/>
        </w:rPr>
        <w:t xml:space="preserve"> </w:t>
      </w:r>
      <w:r w:rsidRPr="007A3BFF">
        <w:rPr>
          <w:i/>
          <w:sz w:val="16"/>
          <w:szCs w:val="16"/>
        </w:rPr>
        <w:tab/>
        <w:t xml:space="preserve">Cfr. Caso Bayarri Vs. Argentina, supra, </w:t>
      </w:r>
      <w:r w:rsidRPr="00597F47">
        <w:rPr>
          <w:sz w:val="16"/>
          <w:szCs w:val="16"/>
        </w:rPr>
        <w:t>párr. 74,</w:t>
      </w:r>
      <w:r w:rsidRPr="007A3BFF">
        <w:rPr>
          <w:sz w:val="16"/>
          <w:szCs w:val="16"/>
        </w:rPr>
        <w:t xml:space="preserve"> y</w:t>
      </w:r>
      <w:r w:rsidRPr="007A3BFF">
        <w:rPr>
          <w:i/>
          <w:sz w:val="16"/>
          <w:szCs w:val="16"/>
        </w:rPr>
        <w:t xml:space="preserve"> </w:t>
      </w:r>
      <w:r w:rsidRPr="00560ED8">
        <w:rPr>
          <w:i/>
          <w:sz w:val="16"/>
          <w:szCs w:val="16"/>
        </w:rPr>
        <w:t>Caso Mujeres Víctimas de Tortura Sexual en Atenco Vs. México</w:t>
      </w:r>
      <w:r>
        <w:rPr>
          <w:i/>
          <w:sz w:val="16"/>
          <w:szCs w:val="16"/>
        </w:rPr>
        <w:t>, supra</w:t>
      </w:r>
      <w:r w:rsidRPr="00560ED8">
        <w:rPr>
          <w:sz w:val="16"/>
          <w:szCs w:val="16"/>
        </w:rPr>
        <w:t xml:space="preserve">, párr. </w:t>
      </w:r>
      <w:r>
        <w:rPr>
          <w:sz w:val="16"/>
          <w:szCs w:val="16"/>
        </w:rPr>
        <w:t>255</w:t>
      </w:r>
      <w:r w:rsidRPr="00560ED8">
        <w:rPr>
          <w:sz w:val="16"/>
          <w:szCs w:val="16"/>
        </w:rPr>
        <w:t>.</w:t>
      </w:r>
    </w:p>
  </w:footnote>
  <w:footnote w:id="89">
    <w:p w14:paraId="6182BC8A" w14:textId="3631658D" w:rsidR="00997C54" w:rsidRPr="007A3BFF" w:rsidRDefault="00997C54" w:rsidP="003E34C2">
      <w:pPr>
        <w:pStyle w:val="Textonotapie"/>
        <w:tabs>
          <w:tab w:val="left" w:pos="567"/>
        </w:tabs>
        <w:rPr>
          <w:sz w:val="16"/>
          <w:szCs w:val="16"/>
        </w:rPr>
      </w:pPr>
      <w:r w:rsidRPr="007A3BFF">
        <w:rPr>
          <w:iCs/>
          <w:sz w:val="16"/>
          <w:szCs w:val="16"/>
          <w:vertAlign w:val="superscript"/>
        </w:rPr>
        <w:footnoteRef/>
      </w:r>
      <w:r w:rsidRPr="007A3BFF">
        <w:rPr>
          <w:i/>
          <w:sz w:val="16"/>
          <w:szCs w:val="16"/>
        </w:rPr>
        <w:t xml:space="preserve"> </w:t>
      </w:r>
      <w:r w:rsidRPr="007A3BFF">
        <w:rPr>
          <w:i/>
          <w:sz w:val="16"/>
          <w:szCs w:val="16"/>
        </w:rPr>
        <w:tab/>
        <w:t xml:space="preserve">Cfr. Caso Chaparro Álvarez y Lapo </w:t>
      </w:r>
      <w:proofErr w:type="spellStart"/>
      <w:r w:rsidRPr="007A3BFF">
        <w:rPr>
          <w:i/>
          <w:sz w:val="16"/>
          <w:szCs w:val="16"/>
        </w:rPr>
        <w:t>Iñíguez</w:t>
      </w:r>
      <w:proofErr w:type="spellEnd"/>
      <w:r w:rsidRPr="007A3BFF">
        <w:rPr>
          <w:i/>
          <w:sz w:val="16"/>
          <w:szCs w:val="16"/>
        </w:rPr>
        <w:t xml:space="preserve"> Vs. Ecuador</w:t>
      </w:r>
      <w:r>
        <w:rPr>
          <w:i/>
          <w:sz w:val="16"/>
          <w:szCs w:val="16"/>
        </w:rPr>
        <w:t>, supra</w:t>
      </w:r>
      <w:r w:rsidRPr="007A3BFF">
        <w:rPr>
          <w:sz w:val="16"/>
          <w:szCs w:val="16"/>
        </w:rPr>
        <w:t>, párr. 117</w:t>
      </w:r>
      <w:r>
        <w:rPr>
          <w:sz w:val="16"/>
          <w:szCs w:val="16"/>
        </w:rPr>
        <w:t>,</w:t>
      </w:r>
      <w:r w:rsidRPr="007A3BFF">
        <w:rPr>
          <w:sz w:val="16"/>
          <w:szCs w:val="16"/>
        </w:rPr>
        <w:t xml:space="preserve"> y</w:t>
      </w:r>
      <w:r w:rsidRPr="007A3BFF">
        <w:rPr>
          <w:i/>
          <w:sz w:val="16"/>
          <w:szCs w:val="16"/>
        </w:rPr>
        <w:t xml:space="preserve"> Caso Argü</w:t>
      </w:r>
      <w:r>
        <w:rPr>
          <w:i/>
          <w:sz w:val="16"/>
          <w:szCs w:val="16"/>
        </w:rPr>
        <w:t>elles y otros Vs. Argentina</w:t>
      </w:r>
      <w:r w:rsidRPr="007A3BFF">
        <w:rPr>
          <w:sz w:val="16"/>
          <w:szCs w:val="16"/>
        </w:rPr>
        <w:t>,</w:t>
      </w:r>
      <w:r>
        <w:rPr>
          <w:sz w:val="16"/>
          <w:szCs w:val="16"/>
        </w:rPr>
        <w:t xml:space="preserve"> supra,</w:t>
      </w:r>
      <w:r w:rsidRPr="007A3BFF">
        <w:rPr>
          <w:sz w:val="16"/>
          <w:szCs w:val="16"/>
        </w:rPr>
        <w:t xml:space="preserve"> párr. 122. </w:t>
      </w:r>
    </w:p>
  </w:footnote>
  <w:footnote w:id="90">
    <w:p w14:paraId="27C900E7" w14:textId="24BF01B5" w:rsidR="00997C54" w:rsidRPr="007A3BFF" w:rsidRDefault="00997C54" w:rsidP="003E34C2">
      <w:pPr>
        <w:pStyle w:val="Textonotapie"/>
        <w:rPr>
          <w:sz w:val="16"/>
          <w:szCs w:val="16"/>
        </w:rPr>
      </w:pPr>
      <w:r w:rsidRPr="007A3BFF">
        <w:rPr>
          <w:rStyle w:val="Refdenotaalpie"/>
          <w:sz w:val="16"/>
          <w:szCs w:val="16"/>
        </w:rPr>
        <w:footnoteRef/>
      </w:r>
      <w:r w:rsidRPr="007A3BFF">
        <w:rPr>
          <w:sz w:val="16"/>
          <w:szCs w:val="16"/>
        </w:rPr>
        <w:t xml:space="preserve"> </w:t>
      </w:r>
      <w:r w:rsidRPr="007A3BFF">
        <w:rPr>
          <w:sz w:val="16"/>
          <w:szCs w:val="16"/>
        </w:rPr>
        <w:tab/>
      </w:r>
      <w:r w:rsidRPr="007A3BFF">
        <w:rPr>
          <w:i/>
          <w:sz w:val="16"/>
          <w:szCs w:val="16"/>
        </w:rPr>
        <w:t>Cfr</w:t>
      </w:r>
      <w:r>
        <w:rPr>
          <w:sz w:val="16"/>
          <w:szCs w:val="16"/>
        </w:rPr>
        <w:t>. Ley N</w:t>
      </w:r>
      <w:r w:rsidRPr="007A3BFF">
        <w:rPr>
          <w:sz w:val="16"/>
          <w:szCs w:val="16"/>
        </w:rPr>
        <w:t xml:space="preserve">o. 24.390, Plazos de prisión preventiva, sancionada el 2 de noviembre de 1994 y promulgada de hecho el 21 de noviembre de 1994, disponible aquí: </w:t>
      </w:r>
      <w:hyperlink r:id="rId3" w:history="1">
        <w:r w:rsidRPr="007A3BFF">
          <w:rPr>
            <w:rStyle w:val="Hipervnculo"/>
            <w:sz w:val="16"/>
            <w:szCs w:val="16"/>
          </w:rPr>
          <w:t>http://servicios.infoleg.gob.ar/infolegInternet/anexos/0-4999/776/norma.htm</w:t>
        </w:r>
      </w:hyperlink>
    </w:p>
  </w:footnote>
  <w:footnote w:id="91">
    <w:p w14:paraId="65346C84" w14:textId="0B78E956" w:rsidR="00997C54" w:rsidRPr="007A3BFF" w:rsidRDefault="00997C54" w:rsidP="003E34C2">
      <w:pPr>
        <w:pStyle w:val="Textonotapie"/>
        <w:rPr>
          <w:sz w:val="16"/>
          <w:szCs w:val="16"/>
        </w:rPr>
      </w:pPr>
      <w:r w:rsidRPr="007A3BFF">
        <w:rPr>
          <w:rStyle w:val="Refdenotaalpie"/>
          <w:sz w:val="16"/>
          <w:szCs w:val="16"/>
        </w:rPr>
        <w:footnoteRef/>
      </w:r>
      <w:r w:rsidRPr="007A3BFF">
        <w:rPr>
          <w:sz w:val="16"/>
          <w:szCs w:val="16"/>
        </w:rPr>
        <w:t xml:space="preserve"> </w:t>
      </w:r>
      <w:r w:rsidRPr="007A3BFF">
        <w:rPr>
          <w:sz w:val="16"/>
          <w:szCs w:val="16"/>
        </w:rPr>
        <w:tab/>
      </w:r>
      <w:r w:rsidRPr="007A3BFF">
        <w:rPr>
          <w:i/>
          <w:iCs/>
          <w:sz w:val="16"/>
          <w:szCs w:val="16"/>
        </w:rPr>
        <w:t xml:space="preserve">Cfr. </w:t>
      </w:r>
      <w:r w:rsidRPr="007A3BFF">
        <w:rPr>
          <w:color w:val="000000"/>
          <w:sz w:val="16"/>
          <w:szCs w:val="16"/>
        </w:rPr>
        <w:t>Resolución del Tribunal Oral No.</w:t>
      </w:r>
      <w:r>
        <w:rPr>
          <w:color w:val="000000"/>
          <w:sz w:val="16"/>
          <w:szCs w:val="16"/>
        </w:rPr>
        <w:t xml:space="preserve"> </w:t>
      </w:r>
      <w:r w:rsidRPr="007A3BFF">
        <w:rPr>
          <w:color w:val="000000"/>
          <w:sz w:val="16"/>
          <w:szCs w:val="16"/>
        </w:rPr>
        <w:t xml:space="preserve">6 declarando sin lugar el recurso de inconstitucionalidad, de 2 de octubre de 1996 </w:t>
      </w:r>
      <w:r w:rsidRPr="007A3BFF">
        <w:rPr>
          <w:sz w:val="16"/>
          <w:szCs w:val="16"/>
        </w:rPr>
        <w:t>(expediente de prueba, folio 4551).</w:t>
      </w:r>
    </w:p>
  </w:footnote>
  <w:footnote w:id="92">
    <w:p w14:paraId="2733FE0D" w14:textId="389C49A8" w:rsidR="00997C54" w:rsidRPr="007A3BFF" w:rsidRDefault="00997C54" w:rsidP="003E34C2">
      <w:pPr>
        <w:pStyle w:val="Textonotapie"/>
        <w:rPr>
          <w:sz w:val="16"/>
          <w:szCs w:val="16"/>
        </w:rPr>
      </w:pPr>
      <w:r w:rsidRPr="007A3BFF">
        <w:rPr>
          <w:rStyle w:val="Refdenotaalpie"/>
          <w:sz w:val="16"/>
          <w:szCs w:val="16"/>
        </w:rPr>
        <w:footnoteRef/>
      </w:r>
      <w:r w:rsidRPr="007A3BFF">
        <w:rPr>
          <w:sz w:val="16"/>
          <w:szCs w:val="16"/>
        </w:rPr>
        <w:t xml:space="preserve"> </w:t>
      </w:r>
      <w:r w:rsidRPr="007A3BFF">
        <w:rPr>
          <w:sz w:val="16"/>
          <w:szCs w:val="16"/>
        </w:rPr>
        <w:tab/>
      </w:r>
      <w:r w:rsidRPr="007A3BFF">
        <w:rPr>
          <w:i/>
          <w:iCs/>
          <w:sz w:val="16"/>
          <w:szCs w:val="16"/>
        </w:rPr>
        <w:t xml:space="preserve">Cfr. </w:t>
      </w:r>
      <w:r w:rsidRPr="007A3BFF">
        <w:rPr>
          <w:color w:val="000000"/>
          <w:sz w:val="16"/>
          <w:szCs w:val="16"/>
        </w:rPr>
        <w:t>Resolución del Tribunal Oral No.</w:t>
      </w:r>
      <w:r>
        <w:rPr>
          <w:color w:val="000000"/>
          <w:sz w:val="16"/>
          <w:szCs w:val="16"/>
        </w:rPr>
        <w:t xml:space="preserve"> </w:t>
      </w:r>
      <w:r w:rsidRPr="007A3BFF">
        <w:rPr>
          <w:color w:val="000000"/>
          <w:sz w:val="16"/>
          <w:szCs w:val="16"/>
        </w:rPr>
        <w:t xml:space="preserve">6 declarando sin lugar el recurso de inconstitucionalidad, de 2 de octubre de 1996 </w:t>
      </w:r>
      <w:r w:rsidRPr="007A3BFF">
        <w:rPr>
          <w:sz w:val="16"/>
          <w:szCs w:val="16"/>
        </w:rPr>
        <w:t>(expediente de prueba, folio 4551).</w:t>
      </w:r>
    </w:p>
  </w:footnote>
  <w:footnote w:id="93">
    <w:p w14:paraId="4B293241" w14:textId="4721A731" w:rsidR="00997C54" w:rsidRPr="004658E1" w:rsidRDefault="00997C54" w:rsidP="003E34C2">
      <w:pPr>
        <w:autoSpaceDE w:val="0"/>
        <w:autoSpaceDN w:val="0"/>
        <w:spacing w:line="240" w:lineRule="auto"/>
        <w:rPr>
          <w:sz w:val="16"/>
          <w:szCs w:val="16"/>
        </w:rPr>
      </w:pPr>
      <w:r w:rsidRPr="004658E1">
        <w:rPr>
          <w:rStyle w:val="Refdenotaalpie"/>
          <w:sz w:val="16"/>
          <w:szCs w:val="16"/>
        </w:rPr>
        <w:footnoteRef/>
      </w:r>
      <w:r w:rsidRPr="004658E1">
        <w:rPr>
          <w:sz w:val="16"/>
          <w:szCs w:val="16"/>
        </w:rPr>
        <w:tab/>
      </w:r>
      <w:r w:rsidRPr="004658E1">
        <w:rPr>
          <w:i/>
          <w:sz w:val="16"/>
          <w:szCs w:val="16"/>
        </w:rPr>
        <w:t xml:space="preserve">Cfr. </w:t>
      </w:r>
      <w:r w:rsidRPr="004658E1">
        <w:rPr>
          <w:rStyle w:val="Textoennegrita"/>
          <w:b w:val="0"/>
          <w:i/>
          <w:sz w:val="16"/>
          <w:szCs w:val="16"/>
        </w:rPr>
        <w:t>Condición jurídica y derechos de los migrantes indocumentados</w:t>
      </w:r>
      <w:r w:rsidRPr="004658E1">
        <w:rPr>
          <w:rStyle w:val="Textoennegrita"/>
          <w:b w:val="0"/>
          <w:sz w:val="16"/>
          <w:szCs w:val="16"/>
        </w:rPr>
        <w:t>. Opinión Consultiva OC-18/03 de 17 de septiembre de 2003. Serie A No. 18</w:t>
      </w:r>
      <w:r w:rsidRPr="004658E1">
        <w:rPr>
          <w:rStyle w:val="apple-style-span"/>
          <w:bCs/>
          <w:color w:val="000000"/>
          <w:sz w:val="16"/>
          <w:szCs w:val="16"/>
        </w:rPr>
        <w:t xml:space="preserve">, </w:t>
      </w:r>
      <w:r w:rsidRPr="004658E1">
        <w:rPr>
          <w:sz w:val="16"/>
          <w:szCs w:val="16"/>
        </w:rPr>
        <w:t xml:space="preserve">párr. 103, y </w:t>
      </w:r>
      <w:r w:rsidRPr="004658E1">
        <w:rPr>
          <w:i/>
          <w:sz w:val="16"/>
          <w:szCs w:val="16"/>
        </w:rPr>
        <w:t xml:space="preserve">Caso Ramírez Escobar y otros Vs. Guatemala. Fondo, Reparaciones y Costas. </w:t>
      </w:r>
      <w:r w:rsidRPr="004658E1">
        <w:rPr>
          <w:sz w:val="16"/>
          <w:szCs w:val="16"/>
        </w:rPr>
        <w:t>Sentencia de 9 de marzo de 2018. Serie C No. 351, párr. 270.</w:t>
      </w:r>
    </w:p>
  </w:footnote>
  <w:footnote w:id="94">
    <w:p w14:paraId="0679D2EA" w14:textId="1A66E725" w:rsidR="00997C54" w:rsidRPr="007A3BFF" w:rsidRDefault="00997C54" w:rsidP="003E34C2">
      <w:pPr>
        <w:pStyle w:val="Textonotapie"/>
        <w:rPr>
          <w:sz w:val="16"/>
          <w:szCs w:val="16"/>
        </w:rPr>
      </w:pPr>
      <w:r w:rsidRPr="007A3BFF">
        <w:rPr>
          <w:rStyle w:val="Refdenotaalpie"/>
          <w:sz w:val="16"/>
          <w:szCs w:val="16"/>
        </w:rPr>
        <w:footnoteRef/>
      </w:r>
      <w:r w:rsidRPr="007A3BFF">
        <w:rPr>
          <w:sz w:val="16"/>
          <w:szCs w:val="16"/>
        </w:rPr>
        <w:t xml:space="preserve"> </w:t>
      </w:r>
      <w:r w:rsidRPr="007A3BFF">
        <w:rPr>
          <w:sz w:val="16"/>
          <w:szCs w:val="16"/>
        </w:rPr>
        <w:tab/>
      </w:r>
      <w:r w:rsidRPr="007A3BFF">
        <w:rPr>
          <w:i/>
          <w:sz w:val="16"/>
          <w:szCs w:val="16"/>
        </w:rPr>
        <w:t>Cfr.</w:t>
      </w:r>
      <w:r w:rsidRPr="007A3BFF">
        <w:rPr>
          <w:sz w:val="16"/>
          <w:szCs w:val="16"/>
        </w:rPr>
        <w:t xml:space="preserve"> </w:t>
      </w:r>
      <w:r w:rsidRPr="007A3BFF">
        <w:rPr>
          <w:i/>
          <w:sz w:val="16"/>
          <w:szCs w:val="16"/>
        </w:rPr>
        <w:t xml:space="preserve">Caso </w:t>
      </w:r>
      <w:proofErr w:type="spellStart"/>
      <w:r w:rsidRPr="007A3BFF">
        <w:rPr>
          <w:i/>
          <w:sz w:val="16"/>
          <w:szCs w:val="16"/>
        </w:rPr>
        <w:t>Apitz</w:t>
      </w:r>
      <w:proofErr w:type="spellEnd"/>
      <w:r w:rsidRPr="007A3BFF">
        <w:rPr>
          <w:i/>
          <w:sz w:val="16"/>
          <w:szCs w:val="16"/>
        </w:rPr>
        <w:t xml:space="preserve"> Barbera y otros (“Corte Primera de lo Contencioso Administrativo”) Vs. Venezuela. Excepción Preliminar, Fondo, Reparaciones y Costas. </w:t>
      </w:r>
      <w:r w:rsidRPr="007A3BFF">
        <w:rPr>
          <w:sz w:val="16"/>
          <w:szCs w:val="16"/>
        </w:rPr>
        <w:t xml:space="preserve">Sentencia de 5 de agosto de 2008. Serie C No. 182, párr. 209, y </w:t>
      </w:r>
      <w:r w:rsidRPr="00D1606D">
        <w:rPr>
          <w:i/>
          <w:sz w:val="16"/>
          <w:szCs w:val="16"/>
        </w:rPr>
        <w:t>Caso Ramírez Escobar y otros Vs. Guatemala</w:t>
      </w:r>
      <w:r>
        <w:rPr>
          <w:i/>
          <w:sz w:val="16"/>
          <w:szCs w:val="16"/>
        </w:rPr>
        <w:t>, supra</w:t>
      </w:r>
      <w:r w:rsidRPr="00D1606D">
        <w:rPr>
          <w:sz w:val="16"/>
          <w:szCs w:val="16"/>
        </w:rPr>
        <w:t xml:space="preserve">, párr. </w:t>
      </w:r>
      <w:r>
        <w:rPr>
          <w:sz w:val="16"/>
          <w:szCs w:val="16"/>
        </w:rPr>
        <w:t>272</w:t>
      </w:r>
      <w:r w:rsidRPr="00D1606D">
        <w:rPr>
          <w:sz w:val="16"/>
          <w:szCs w:val="16"/>
        </w:rPr>
        <w:t>.</w:t>
      </w:r>
    </w:p>
  </w:footnote>
  <w:footnote w:id="95">
    <w:p w14:paraId="0A9D12AF" w14:textId="48DA9610" w:rsidR="00997C54" w:rsidRPr="007A3BFF" w:rsidRDefault="00997C54" w:rsidP="003E34C2">
      <w:pPr>
        <w:pStyle w:val="Textonotapie"/>
        <w:rPr>
          <w:rFonts w:cs="Vrinda"/>
          <w:spacing w:val="-4"/>
          <w:sz w:val="16"/>
          <w:szCs w:val="16"/>
        </w:rPr>
      </w:pPr>
      <w:r w:rsidRPr="007A3BFF">
        <w:rPr>
          <w:rStyle w:val="Refdenotaalpie"/>
          <w:rFonts w:cs="Vrinda"/>
          <w:spacing w:val="-4"/>
          <w:sz w:val="16"/>
          <w:szCs w:val="16"/>
        </w:rPr>
        <w:footnoteRef/>
      </w:r>
      <w:r w:rsidRPr="007A3BFF">
        <w:rPr>
          <w:rFonts w:cs="Vrinda"/>
          <w:spacing w:val="-4"/>
          <w:sz w:val="16"/>
          <w:szCs w:val="16"/>
          <w:lang w:val="es-UY"/>
        </w:rPr>
        <w:t xml:space="preserve"> </w:t>
      </w:r>
      <w:r w:rsidRPr="007A3BFF">
        <w:rPr>
          <w:rFonts w:cs="Vrinda"/>
          <w:spacing w:val="-4"/>
          <w:sz w:val="16"/>
          <w:szCs w:val="16"/>
          <w:lang w:val="es-UY"/>
        </w:rPr>
        <w:tab/>
      </w:r>
      <w:r w:rsidRPr="007A3BFF">
        <w:rPr>
          <w:rFonts w:cs="Vrinda"/>
          <w:i/>
          <w:spacing w:val="-4"/>
          <w:sz w:val="16"/>
          <w:szCs w:val="16"/>
        </w:rPr>
        <w:t xml:space="preserve">Cfr. </w:t>
      </w:r>
      <w:r w:rsidRPr="007A3BFF">
        <w:rPr>
          <w:bCs/>
          <w:i/>
          <w:sz w:val="16"/>
          <w:szCs w:val="16"/>
        </w:rPr>
        <w:t>Condición</w:t>
      </w:r>
      <w:r w:rsidRPr="007A3BFF">
        <w:rPr>
          <w:i/>
          <w:sz w:val="16"/>
          <w:szCs w:val="16"/>
        </w:rPr>
        <w:t xml:space="preserve"> Jurídica y Derechos Humanos del Niño. </w:t>
      </w:r>
      <w:r w:rsidRPr="007A3BFF">
        <w:rPr>
          <w:sz w:val="16"/>
          <w:szCs w:val="16"/>
        </w:rPr>
        <w:t>Opinión Consultiva OC-17/02 del 28 de agosto de 2002. Serie A No. 17</w:t>
      </w:r>
      <w:r w:rsidRPr="007A3BFF">
        <w:rPr>
          <w:i/>
          <w:sz w:val="16"/>
          <w:szCs w:val="16"/>
        </w:rPr>
        <w:t xml:space="preserve">, </w:t>
      </w:r>
      <w:r w:rsidRPr="007A3BFF">
        <w:rPr>
          <w:bCs/>
          <w:sz w:val="16"/>
          <w:szCs w:val="16"/>
        </w:rPr>
        <w:t>párr</w:t>
      </w:r>
      <w:r w:rsidRPr="007A3BFF">
        <w:rPr>
          <w:bCs/>
          <w:i/>
          <w:sz w:val="16"/>
          <w:szCs w:val="16"/>
        </w:rPr>
        <w:t xml:space="preserve">. </w:t>
      </w:r>
      <w:r w:rsidRPr="007A3BFF">
        <w:rPr>
          <w:rFonts w:cs="Vrinda"/>
          <w:spacing w:val="-4"/>
          <w:sz w:val="16"/>
          <w:szCs w:val="16"/>
        </w:rPr>
        <w:t xml:space="preserve">46, y </w:t>
      </w:r>
      <w:r w:rsidRPr="007A3BFF">
        <w:rPr>
          <w:i/>
          <w:sz w:val="16"/>
          <w:szCs w:val="16"/>
        </w:rPr>
        <w:t xml:space="preserve">Caso Flor Freire Vs. Ecuador. Excepción Preliminar, Fondo, Reparaciones y Costas. </w:t>
      </w:r>
      <w:r w:rsidRPr="007A3BFF">
        <w:rPr>
          <w:sz w:val="16"/>
          <w:szCs w:val="16"/>
        </w:rPr>
        <w:t>Sentencia de 31 de agosto de 2016. Serie C No. 315</w:t>
      </w:r>
      <w:r w:rsidRPr="007A3BFF">
        <w:rPr>
          <w:i/>
          <w:sz w:val="16"/>
          <w:szCs w:val="16"/>
        </w:rPr>
        <w:t xml:space="preserve">, </w:t>
      </w:r>
      <w:r w:rsidRPr="007A3BFF">
        <w:rPr>
          <w:bCs/>
          <w:sz w:val="16"/>
          <w:szCs w:val="16"/>
        </w:rPr>
        <w:t>párr</w:t>
      </w:r>
      <w:r w:rsidRPr="007A3BFF">
        <w:rPr>
          <w:bCs/>
          <w:i/>
          <w:sz w:val="16"/>
          <w:szCs w:val="16"/>
        </w:rPr>
        <w:t xml:space="preserve">. </w:t>
      </w:r>
      <w:r w:rsidRPr="007A3BFF">
        <w:rPr>
          <w:rFonts w:cs="Vrinda"/>
          <w:spacing w:val="-4"/>
          <w:sz w:val="16"/>
          <w:szCs w:val="16"/>
        </w:rPr>
        <w:t>125.</w:t>
      </w:r>
    </w:p>
  </w:footnote>
  <w:footnote w:id="96">
    <w:p w14:paraId="46E2757A" w14:textId="07EE6FC6" w:rsidR="00997C54" w:rsidRPr="007A3BFF" w:rsidRDefault="00997C54" w:rsidP="003E34C2">
      <w:pPr>
        <w:pStyle w:val="Textonotapie"/>
        <w:rPr>
          <w:rFonts w:cs="Vrinda"/>
          <w:spacing w:val="-4"/>
          <w:sz w:val="16"/>
          <w:szCs w:val="16"/>
        </w:rPr>
      </w:pPr>
      <w:r w:rsidRPr="007A3BFF">
        <w:rPr>
          <w:rStyle w:val="Refdenotaalpie"/>
          <w:rFonts w:cs="Vrinda"/>
          <w:spacing w:val="-4"/>
          <w:sz w:val="16"/>
          <w:szCs w:val="16"/>
        </w:rPr>
        <w:footnoteRef/>
      </w:r>
      <w:r w:rsidRPr="007A3BFF">
        <w:rPr>
          <w:rFonts w:cs="Vrinda"/>
          <w:spacing w:val="-4"/>
          <w:sz w:val="16"/>
          <w:szCs w:val="16"/>
        </w:rPr>
        <w:t xml:space="preserve"> </w:t>
      </w:r>
      <w:r w:rsidRPr="007A3BFF">
        <w:rPr>
          <w:rFonts w:cs="Vrinda"/>
          <w:spacing w:val="-4"/>
          <w:sz w:val="16"/>
          <w:szCs w:val="16"/>
        </w:rPr>
        <w:tab/>
      </w:r>
      <w:r w:rsidRPr="007A3BFF">
        <w:rPr>
          <w:rFonts w:cs="Vrinda"/>
          <w:i/>
          <w:spacing w:val="-4"/>
          <w:sz w:val="16"/>
          <w:szCs w:val="16"/>
        </w:rPr>
        <w:t xml:space="preserve">Cfr. </w:t>
      </w:r>
      <w:r w:rsidRPr="007A3BFF">
        <w:rPr>
          <w:rStyle w:val="Textoennegrita"/>
          <w:rFonts w:cs="Vrinda"/>
          <w:b w:val="0"/>
          <w:i/>
          <w:color w:val="000000"/>
          <w:spacing w:val="-4"/>
          <w:sz w:val="16"/>
          <w:szCs w:val="16"/>
          <w:lang w:val="es-GT"/>
        </w:rPr>
        <w:t xml:space="preserve">Caso </w:t>
      </w:r>
      <w:r w:rsidRPr="007A3BFF">
        <w:rPr>
          <w:rStyle w:val="Textoennegrita"/>
          <w:rFonts w:cs="Vrinda"/>
          <w:b w:val="0"/>
          <w:i/>
          <w:color w:val="000000"/>
          <w:spacing w:val="-4"/>
          <w:sz w:val="16"/>
          <w:szCs w:val="16"/>
          <w:lang w:val="es-GT"/>
        </w:rPr>
        <w:t>Norín Catrimán (Dirigentes, Miembros y Activista del Pueblo Indígena Mapuche) y otros Vs. Chile,</w:t>
      </w:r>
      <w:r w:rsidRPr="007A3BFF">
        <w:rPr>
          <w:rFonts w:cs="Vrinda"/>
          <w:i/>
          <w:spacing w:val="-4"/>
          <w:sz w:val="16"/>
          <w:szCs w:val="16"/>
        </w:rPr>
        <w:t xml:space="preserve"> </w:t>
      </w:r>
      <w:r>
        <w:rPr>
          <w:rFonts w:cs="Vrinda"/>
          <w:i/>
          <w:spacing w:val="-4"/>
          <w:sz w:val="16"/>
          <w:szCs w:val="16"/>
        </w:rPr>
        <w:t xml:space="preserve">supra, </w:t>
      </w:r>
      <w:r w:rsidRPr="007A3BFF">
        <w:rPr>
          <w:rFonts w:cs="Vrinda"/>
          <w:spacing w:val="-4"/>
          <w:sz w:val="16"/>
          <w:szCs w:val="16"/>
        </w:rPr>
        <w:t xml:space="preserve">párr. 200, y </w:t>
      </w:r>
      <w:r w:rsidRPr="007A3BFF">
        <w:rPr>
          <w:i/>
          <w:sz w:val="16"/>
          <w:szCs w:val="16"/>
        </w:rPr>
        <w:t>Caso Flor Freire Vs. Ecuador</w:t>
      </w:r>
      <w:r>
        <w:rPr>
          <w:i/>
          <w:sz w:val="16"/>
          <w:szCs w:val="16"/>
        </w:rPr>
        <w:t>, supra,</w:t>
      </w:r>
      <w:r w:rsidRPr="007A3BFF">
        <w:rPr>
          <w:i/>
          <w:sz w:val="16"/>
          <w:szCs w:val="16"/>
        </w:rPr>
        <w:t xml:space="preserve"> </w:t>
      </w:r>
      <w:r w:rsidRPr="007A3BFF">
        <w:rPr>
          <w:bCs/>
          <w:sz w:val="16"/>
          <w:szCs w:val="16"/>
        </w:rPr>
        <w:t>párr</w:t>
      </w:r>
      <w:r w:rsidRPr="007A3BFF">
        <w:rPr>
          <w:bCs/>
          <w:i/>
          <w:sz w:val="16"/>
          <w:szCs w:val="16"/>
        </w:rPr>
        <w:t xml:space="preserve">. </w:t>
      </w:r>
      <w:r w:rsidRPr="007A3BFF">
        <w:rPr>
          <w:rFonts w:cs="Vrinda"/>
          <w:spacing w:val="-4"/>
          <w:sz w:val="16"/>
          <w:szCs w:val="16"/>
        </w:rPr>
        <w:t>125.</w:t>
      </w:r>
    </w:p>
  </w:footnote>
  <w:footnote w:id="97">
    <w:p w14:paraId="1C102299" w14:textId="0688D001" w:rsidR="00997C54" w:rsidRPr="007A3BFF" w:rsidRDefault="00997C54" w:rsidP="003E34C2">
      <w:pPr>
        <w:pStyle w:val="Textonotapie"/>
        <w:rPr>
          <w:sz w:val="16"/>
          <w:szCs w:val="16"/>
        </w:rPr>
      </w:pPr>
      <w:r w:rsidRPr="007A3BFF">
        <w:rPr>
          <w:rStyle w:val="Refdenotaalpie"/>
          <w:sz w:val="16"/>
          <w:szCs w:val="16"/>
        </w:rPr>
        <w:footnoteRef/>
      </w:r>
      <w:r w:rsidRPr="007A3BFF">
        <w:rPr>
          <w:sz w:val="16"/>
          <w:szCs w:val="16"/>
        </w:rPr>
        <w:t xml:space="preserve"> </w:t>
      </w:r>
      <w:r w:rsidRPr="007A3BFF">
        <w:rPr>
          <w:sz w:val="16"/>
          <w:szCs w:val="16"/>
        </w:rPr>
        <w:tab/>
      </w:r>
      <w:r w:rsidRPr="007A3BFF">
        <w:rPr>
          <w:i/>
          <w:sz w:val="16"/>
          <w:szCs w:val="16"/>
        </w:rPr>
        <w:t xml:space="preserve">Cfr. </w:t>
      </w:r>
      <w:r w:rsidRPr="00D1606D">
        <w:rPr>
          <w:i/>
          <w:sz w:val="16"/>
          <w:szCs w:val="16"/>
        </w:rPr>
        <w:t>Caso Argüelles y otros Vs. Argentina</w:t>
      </w:r>
      <w:r>
        <w:rPr>
          <w:i/>
          <w:sz w:val="16"/>
          <w:szCs w:val="16"/>
        </w:rPr>
        <w:t>, supra,</w:t>
      </w:r>
      <w:r w:rsidRPr="00D1606D">
        <w:rPr>
          <w:sz w:val="16"/>
          <w:szCs w:val="16"/>
        </w:rPr>
        <w:t xml:space="preserve"> párr. 227, y</w:t>
      </w:r>
      <w:r>
        <w:rPr>
          <w:i/>
          <w:sz w:val="16"/>
          <w:szCs w:val="16"/>
        </w:rPr>
        <w:t xml:space="preserve"> </w:t>
      </w:r>
      <w:r w:rsidRPr="007A3BFF">
        <w:rPr>
          <w:rStyle w:val="Textoennegrita"/>
          <w:rFonts w:eastAsia="MS Mincho"/>
          <w:b w:val="0"/>
          <w:i/>
          <w:color w:val="000000"/>
          <w:sz w:val="16"/>
          <w:szCs w:val="16"/>
          <w:shd w:val="clear" w:color="auto" w:fill="FFFFFF"/>
        </w:rPr>
        <w:t>Caso Flor Freire Vs. Ecuador</w:t>
      </w:r>
      <w:r>
        <w:rPr>
          <w:rStyle w:val="Textoennegrita"/>
          <w:rFonts w:eastAsia="MS Mincho"/>
          <w:b w:val="0"/>
          <w:i/>
          <w:color w:val="000000"/>
          <w:sz w:val="16"/>
          <w:szCs w:val="16"/>
          <w:shd w:val="clear" w:color="auto" w:fill="FFFFFF"/>
        </w:rPr>
        <w:t>, supra,</w:t>
      </w:r>
      <w:r w:rsidRPr="007A3BFF">
        <w:rPr>
          <w:rStyle w:val="Textoennegrita"/>
          <w:rFonts w:eastAsia="MS Mincho"/>
          <w:b w:val="0"/>
          <w:color w:val="000000"/>
          <w:sz w:val="16"/>
          <w:szCs w:val="16"/>
          <w:shd w:val="clear" w:color="auto" w:fill="FFFFFF"/>
        </w:rPr>
        <w:t xml:space="preserve"> párr. 126.</w:t>
      </w:r>
    </w:p>
  </w:footnote>
  <w:footnote w:id="98">
    <w:p w14:paraId="13E43B02" w14:textId="77777777" w:rsidR="00997C54" w:rsidRPr="007A3BFF" w:rsidRDefault="00997C54" w:rsidP="003E34C2">
      <w:pPr>
        <w:pStyle w:val="Textonotapie"/>
        <w:rPr>
          <w:sz w:val="16"/>
          <w:szCs w:val="16"/>
        </w:rPr>
      </w:pPr>
      <w:r w:rsidRPr="007A3BFF">
        <w:rPr>
          <w:rStyle w:val="Refdenotaalpie"/>
          <w:sz w:val="16"/>
          <w:szCs w:val="16"/>
        </w:rPr>
        <w:footnoteRef/>
      </w:r>
      <w:r w:rsidRPr="007A3BFF">
        <w:rPr>
          <w:sz w:val="16"/>
          <w:szCs w:val="16"/>
        </w:rPr>
        <w:t xml:space="preserve"> </w:t>
      </w:r>
      <w:r w:rsidRPr="007A3BFF">
        <w:rPr>
          <w:sz w:val="16"/>
          <w:szCs w:val="16"/>
        </w:rPr>
        <w:tab/>
      </w:r>
      <w:r w:rsidRPr="007A3BFF">
        <w:rPr>
          <w:i/>
          <w:iCs/>
          <w:sz w:val="16"/>
          <w:szCs w:val="16"/>
        </w:rPr>
        <w:t xml:space="preserve">Cfr. </w:t>
      </w:r>
      <w:r w:rsidRPr="007A3BFF">
        <w:rPr>
          <w:rFonts w:cs="TTE2C93658t00"/>
          <w:color w:val="010101"/>
          <w:sz w:val="16"/>
          <w:szCs w:val="16"/>
        </w:rPr>
        <w:t xml:space="preserve">Sentencia de la Corte Suprema de Justicia de la Nación en el caso Veliz, Linda Cristina s/ causa No. 5640, Recurso de Hecho, V. 210. XLI, de 15 de junio de 2010 </w:t>
      </w:r>
      <w:r w:rsidRPr="007A3BFF">
        <w:rPr>
          <w:sz w:val="16"/>
          <w:szCs w:val="16"/>
        </w:rPr>
        <w:t>(expediente de prueba, folios 5659 a 5661).</w:t>
      </w:r>
    </w:p>
  </w:footnote>
  <w:footnote w:id="99">
    <w:p w14:paraId="35B87546" w14:textId="5B1D5E84" w:rsidR="00997C54" w:rsidRPr="007A3BFF" w:rsidRDefault="00997C54" w:rsidP="003E34C2">
      <w:pPr>
        <w:pStyle w:val="Textonotapie"/>
        <w:rPr>
          <w:sz w:val="16"/>
          <w:szCs w:val="16"/>
        </w:rPr>
      </w:pPr>
      <w:r w:rsidRPr="007A3BFF">
        <w:rPr>
          <w:rStyle w:val="Refdenotaalpie"/>
          <w:sz w:val="16"/>
          <w:szCs w:val="16"/>
        </w:rPr>
        <w:footnoteRef/>
      </w:r>
      <w:r w:rsidRPr="007A3BFF">
        <w:rPr>
          <w:sz w:val="16"/>
          <w:szCs w:val="16"/>
        </w:rPr>
        <w:t xml:space="preserve"> </w:t>
      </w:r>
      <w:r w:rsidRPr="007A3BFF">
        <w:rPr>
          <w:sz w:val="16"/>
          <w:szCs w:val="16"/>
        </w:rPr>
        <w:tab/>
      </w:r>
      <w:r w:rsidRPr="007A3BFF">
        <w:rPr>
          <w:i/>
          <w:iCs/>
          <w:sz w:val="16"/>
          <w:szCs w:val="16"/>
        </w:rPr>
        <w:t xml:space="preserve">Cfr. </w:t>
      </w:r>
      <w:r w:rsidRPr="007A3BFF">
        <w:rPr>
          <w:color w:val="000000"/>
          <w:sz w:val="16"/>
          <w:szCs w:val="16"/>
        </w:rPr>
        <w:t>Resolución del Tribunal Oral No.</w:t>
      </w:r>
      <w:r>
        <w:rPr>
          <w:color w:val="000000"/>
          <w:sz w:val="16"/>
          <w:szCs w:val="16"/>
        </w:rPr>
        <w:t xml:space="preserve"> </w:t>
      </w:r>
      <w:r w:rsidRPr="007A3BFF">
        <w:rPr>
          <w:color w:val="000000"/>
          <w:sz w:val="16"/>
          <w:szCs w:val="16"/>
        </w:rPr>
        <w:t xml:space="preserve">6 declarando sin lugar el recurso de inconstitucionalidad, de 2 de octubre de 1996 </w:t>
      </w:r>
      <w:r w:rsidRPr="007A3BFF">
        <w:rPr>
          <w:sz w:val="16"/>
          <w:szCs w:val="16"/>
        </w:rPr>
        <w:t>(expediente de prueba, folio 4553).</w:t>
      </w:r>
    </w:p>
    <w:p w14:paraId="0077C517" w14:textId="77777777" w:rsidR="00997C54" w:rsidRPr="007A3BFF" w:rsidRDefault="00997C54" w:rsidP="003E34C2">
      <w:pPr>
        <w:pStyle w:val="Textonotapie"/>
        <w:rPr>
          <w:sz w:val="16"/>
          <w:szCs w:val="16"/>
        </w:rPr>
      </w:pPr>
    </w:p>
  </w:footnote>
  <w:footnote w:id="100">
    <w:p w14:paraId="0DD0C1D9" w14:textId="19A86138" w:rsidR="00997C54" w:rsidRPr="007A3BFF" w:rsidRDefault="00997C54" w:rsidP="003E34C2">
      <w:pPr>
        <w:pStyle w:val="Textonotapie"/>
        <w:rPr>
          <w:sz w:val="16"/>
          <w:szCs w:val="16"/>
          <w:lang w:val="es-CR"/>
        </w:rPr>
      </w:pPr>
      <w:r w:rsidRPr="007A3BFF">
        <w:rPr>
          <w:rStyle w:val="Refdenotaalpie"/>
          <w:sz w:val="16"/>
          <w:szCs w:val="16"/>
        </w:rPr>
        <w:footnoteRef/>
      </w:r>
      <w:r w:rsidRPr="007A3BFF">
        <w:rPr>
          <w:sz w:val="16"/>
          <w:szCs w:val="16"/>
        </w:rPr>
        <w:t xml:space="preserve"> </w:t>
      </w:r>
      <w:r w:rsidRPr="007A3BFF">
        <w:rPr>
          <w:sz w:val="16"/>
          <w:szCs w:val="16"/>
        </w:rPr>
        <w:tab/>
      </w:r>
      <w:r w:rsidRPr="007A3BFF">
        <w:rPr>
          <w:sz w:val="16"/>
          <w:szCs w:val="16"/>
          <w:lang w:val="es-CR"/>
        </w:rPr>
        <w:t xml:space="preserve">Dicho artículo estipulaba lo siguiente: </w:t>
      </w:r>
    </w:p>
    <w:p w14:paraId="5E127F78" w14:textId="77777777" w:rsidR="00997C54" w:rsidRPr="007A3BFF" w:rsidRDefault="00997C54" w:rsidP="003E34C2">
      <w:pPr>
        <w:pStyle w:val="Textonotapie"/>
        <w:ind w:left="720" w:right="720"/>
        <w:rPr>
          <w:sz w:val="16"/>
          <w:szCs w:val="16"/>
          <w:lang w:val="es-CR"/>
        </w:rPr>
      </w:pPr>
    </w:p>
    <w:p w14:paraId="1CA9680B" w14:textId="5F86201C" w:rsidR="00997C54" w:rsidRPr="007A3BFF" w:rsidRDefault="00997C54" w:rsidP="003E34C2">
      <w:pPr>
        <w:pStyle w:val="Textonotapie"/>
        <w:ind w:left="720" w:right="720"/>
        <w:rPr>
          <w:sz w:val="16"/>
          <w:szCs w:val="16"/>
          <w:lang w:val="es-CR"/>
        </w:rPr>
      </w:pPr>
      <w:r w:rsidRPr="007A3BFF">
        <w:rPr>
          <w:sz w:val="16"/>
          <w:szCs w:val="16"/>
          <w:lang w:val="es-CR"/>
        </w:rPr>
        <w:t>Excarcelación. Procedencia</w:t>
      </w:r>
    </w:p>
    <w:p w14:paraId="2A09348B" w14:textId="77777777" w:rsidR="00997C54" w:rsidRPr="007A3BFF" w:rsidRDefault="00997C54" w:rsidP="003E34C2">
      <w:pPr>
        <w:pStyle w:val="Textonotapie"/>
        <w:ind w:left="720" w:right="720"/>
        <w:rPr>
          <w:sz w:val="16"/>
          <w:szCs w:val="16"/>
          <w:lang w:val="es-CR"/>
        </w:rPr>
      </w:pPr>
    </w:p>
    <w:p w14:paraId="3E317FB7" w14:textId="77777777" w:rsidR="00997C54" w:rsidRPr="007A3BFF" w:rsidRDefault="00997C54" w:rsidP="003E34C2">
      <w:pPr>
        <w:pStyle w:val="Textonotapie"/>
        <w:ind w:left="720" w:right="720"/>
        <w:rPr>
          <w:sz w:val="16"/>
          <w:szCs w:val="16"/>
          <w:lang w:val="es-CR"/>
        </w:rPr>
      </w:pPr>
      <w:r w:rsidRPr="007A3BFF">
        <w:rPr>
          <w:sz w:val="16"/>
          <w:szCs w:val="16"/>
          <w:lang w:val="es-CR"/>
        </w:rPr>
        <w:t>Art. 317. - La excarcelación podrá concederse:</w:t>
      </w:r>
    </w:p>
    <w:p w14:paraId="0BFD6F0E" w14:textId="77777777" w:rsidR="00997C54" w:rsidRPr="007A3BFF" w:rsidRDefault="00997C54" w:rsidP="003E34C2">
      <w:pPr>
        <w:pStyle w:val="Textonotapie"/>
        <w:ind w:left="720" w:right="720"/>
        <w:rPr>
          <w:sz w:val="16"/>
          <w:szCs w:val="16"/>
          <w:lang w:val="es-CR"/>
        </w:rPr>
      </w:pPr>
    </w:p>
    <w:p w14:paraId="149A2688" w14:textId="77777777" w:rsidR="00997C54" w:rsidRPr="007A3BFF" w:rsidRDefault="00997C54" w:rsidP="003E34C2">
      <w:pPr>
        <w:pStyle w:val="Textonotapie"/>
        <w:ind w:left="720" w:right="720"/>
        <w:rPr>
          <w:sz w:val="16"/>
          <w:szCs w:val="16"/>
          <w:lang w:val="es-CR"/>
        </w:rPr>
      </w:pPr>
      <w:r w:rsidRPr="007A3BFF">
        <w:rPr>
          <w:sz w:val="16"/>
          <w:szCs w:val="16"/>
          <w:lang w:val="es-CR"/>
        </w:rPr>
        <w:t>1°) En los supuestos que correspondiere la exención de prisión.</w:t>
      </w:r>
    </w:p>
    <w:p w14:paraId="78C4FCF4" w14:textId="77777777" w:rsidR="00997C54" w:rsidRPr="007A3BFF" w:rsidRDefault="00997C54" w:rsidP="003E34C2">
      <w:pPr>
        <w:pStyle w:val="Textonotapie"/>
        <w:ind w:left="720" w:right="720"/>
        <w:rPr>
          <w:sz w:val="16"/>
          <w:szCs w:val="16"/>
          <w:lang w:val="es-CR"/>
        </w:rPr>
      </w:pPr>
    </w:p>
    <w:p w14:paraId="38291CC5" w14:textId="77777777" w:rsidR="00997C54" w:rsidRPr="007A3BFF" w:rsidRDefault="00997C54" w:rsidP="003E34C2">
      <w:pPr>
        <w:pStyle w:val="Textonotapie"/>
        <w:ind w:left="720" w:right="720"/>
        <w:rPr>
          <w:sz w:val="16"/>
          <w:szCs w:val="16"/>
          <w:lang w:val="es-CR"/>
        </w:rPr>
      </w:pPr>
      <w:r w:rsidRPr="007A3BFF">
        <w:rPr>
          <w:sz w:val="16"/>
          <w:szCs w:val="16"/>
          <w:lang w:val="es-CR"/>
        </w:rPr>
        <w:t>2°) Cuando el imputado hubiere cumplido en detención o prisión preventiva el máximo de la pena prevista por el Código Penal para el o los delitos que se le atribuyan.</w:t>
      </w:r>
    </w:p>
    <w:p w14:paraId="1C417C6C" w14:textId="77777777" w:rsidR="00997C54" w:rsidRPr="007A3BFF" w:rsidRDefault="00997C54" w:rsidP="003E34C2">
      <w:pPr>
        <w:pStyle w:val="Textonotapie"/>
        <w:ind w:left="720" w:right="720"/>
        <w:rPr>
          <w:sz w:val="16"/>
          <w:szCs w:val="16"/>
          <w:lang w:val="es-CR"/>
        </w:rPr>
      </w:pPr>
    </w:p>
    <w:p w14:paraId="174F0052" w14:textId="77777777" w:rsidR="00997C54" w:rsidRPr="007A3BFF" w:rsidRDefault="00997C54" w:rsidP="003E34C2">
      <w:pPr>
        <w:pStyle w:val="Textonotapie"/>
        <w:ind w:left="720" w:right="720"/>
        <w:rPr>
          <w:sz w:val="16"/>
          <w:szCs w:val="16"/>
          <w:lang w:val="es-CR"/>
        </w:rPr>
      </w:pPr>
      <w:r w:rsidRPr="007A3BFF">
        <w:rPr>
          <w:sz w:val="16"/>
          <w:szCs w:val="16"/>
          <w:lang w:val="es-CR"/>
        </w:rPr>
        <w:t>3°) Cuando el imputado hubiere cumplido en detención o prisión preventiva la pena solicitada por el fiscal, que a primera vista resultare adecuada.</w:t>
      </w:r>
    </w:p>
    <w:p w14:paraId="4CCC0F66" w14:textId="77777777" w:rsidR="00997C54" w:rsidRPr="007A3BFF" w:rsidRDefault="00997C54" w:rsidP="003E34C2">
      <w:pPr>
        <w:pStyle w:val="Textonotapie"/>
        <w:ind w:left="720" w:right="720"/>
        <w:rPr>
          <w:sz w:val="16"/>
          <w:szCs w:val="16"/>
          <w:lang w:val="es-CR"/>
        </w:rPr>
      </w:pPr>
    </w:p>
    <w:p w14:paraId="4B778C14" w14:textId="77777777" w:rsidR="00997C54" w:rsidRPr="007A3BFF" w:rsidRDefault="00997C54" w:rsidP="003E34C2">
      <w:pPr>
        <w:pStyle w:val="Textonotapie"/>
        <w:ind w:left="720" w:right="720"/>
        <w:rPr>
          <w:sz w:val="16"/>
          <w:szCs w:val="16"/>
          <w:lang w:val="es-CR"/>
        </w:rPr>
      </w:pPr>
      <w:r w:rsidRPr="007A3BFF">
        <w:rPr>
          <w:sz w:val="16"/>
          <w:szCs w:val="16"/>
          <w:lang w:val="es-CR"/>
        </w:rPr>
        <w:t>4°) Cuando el imputado hubiere cumplido la pena impuesta por la sentencia no firme.</w:t>
      </w:r>
    </w:p>
    <w:p w14:paraId="4445B4CE" w14:textId="77777777" w:rsidR="00997C54" w:rsidRPr="007A3BFF" w:rsidRDefault="00997C54" w:rsidP="003E34C2">
      <w:pPr>
        <w:pStyle w:val="Textonotapie"/>
        <w:ind w:left="720" w:right="720"/>
        <w:rPr>
          <w:sz w:val="16"/>
          <w:szCs w:val="16"/>
          <w:lang w:val="es-CR"/>
        </w:rPr>
      </w:pPr>
    </w:p>
    <w:p w14:paraId="41361EFF" w14:textId="378AACC3" w:rsidR="00997C54" w:rsidRPr="007A3BFF" w:rsidRDefault="00997C54" w:rsidP="003E34C2">
      <w:pPr>
        <w:pStyle w:val="Textonotapie"/>
        <w:ind w:left="720" w:right="720"/>
        <w:rPr>
          <w:sz w:val="16"/>
          <w:szCs w:val="16"/>
          <w:lang w:val="es-CR"/>
        </w:rPr>
      </w:pPr>
      <w:r w:rsidRPr="007A3BFF">
        <w:rPr>
          <w:sz w:val="16"/>
          <w:szCs w:val="16"/>
          <w:lang w:val="es-CR"/>
        </w:rPr>
        <w:t>5°) Cuando el imputado hubiere cumplido en detención o prisión preventiva un tiempo que, de haber existido condena, le habría permitido obtener la libertad condicional, siempre que se hubieran observado los reglamentos carcelarios.</w:t>
      </w:r>
    </w:p>
  </w:footnote>
  <w:footnote w:id="101">
    <w:p w14:paraId="64B801D6" w14:textId="77777777" w:rsidR="00997C54" w:rsidRPr="007A3BFF" w:rsidRDefault="00997C54" w:rsidP="003836DE">
      <w:pPr>
        <w:pStyle w:val="Textonotapie"/>
        <w:rPr>
          <w:sz w:val="16"/>
          <w:szCs w:val="16"/>
        </w:rPr>
      </w:pPr>
      <w:r w:rsidRPr="007A3BFF">
        <w:rPr>
          <w:rStyle w:val="Refdenotaalpie"/>
          <w:sz w:val="16"/>
          <w:szCs w:val="16"/>
        </w:rPr>
        <w:footnoteRef/>
      </w:r>
      <w:r w:rsidRPr="007A3BFF">
        <w:rPr>
          <w:sz w:val="16"/>
          <w:szCs w:val="16"/>
        </w:rPr>
        <w:t xml:space="preserve"> </w:t>
      </w:r>
      <w:r w:rsidRPr="007A3BFF">
        <w:rPr>
          <w:sz w:val="16"/>
          <w:szCs w:val="16"/>
        </w:rPr>
        <w:tab/>
      </w:r>
      <w:r w:rsidRPr="007A3BFF">
        <w:rPr>
          <w:i/>
          <w:iCs/>
          <w:sz w:val="16"/>
          <w:szCs w:val="16"/>
        </w:rPr>
        <w:t xml:space="preserve">Cfr. </w:t>
      </w:r>
      <w:r w:rsidRPr="007A3BFF">
        <w:rPr>
          <w:rFonts w:cs="TTE2C93658t00"/>
          <w:color w:val="010101"/>
          <w:sz w:val="16"/>
          <w:szCs w:val="16"/>
        </w:rPr>
        <w:t xml:space="preserve">Sentencia de la Corte Suprema de Justicia de la Nación en el caso Veliz, Linda Cristina s/ causa No. 5640, Recurso de Hecho, V. 210. XLI, de 15 de junio de 2010 </w:t>
      </w:r>
      <w:r w:rsidRPr="007A3BFF">
        <w:rPr>
          <w:sz w:val="16"/>
          <w:szCs w:val="16"/>
        </w:rPr>
        <w:t>(expediente de prueba, folios 5659 a 5661).</w:t>
      </w:r>
    </w:p>
  </w:footnote>
  <w:footnote w:id="102">
    <w:p w14:paraId="31E5914F" w14:textId="5CF9C5C6" w:rsidR="00997C54" w:rsidRPr="007A3BFF" w:rsidRDefault="00997C54" w:rsidP="003836DE">
      <w:pPr>
        <w:pStyle w:val="Textonotapie"/>
        <w:rPr>
          <w:sz w:val="16"/>
          <w:szCs w:val="16"/>
        </w:rPr>
      </w:pPr>
      <w:r w:rsidRPr="007A3BFF">
        <w:rPr>
          <w:sz w:val="16"/>
          <w:szCs w:val="16"/>
          <w:vertAlign w:val="superscript"/>
        </w:rPr>
        <w:footnoteRef/>
      </w:r>
      <w:r w:rsidRPr="007A3BFF">
        <w:rPr>
          <w:i/>
          <w:sz w:val="16"/>
          <w:szCs w:val="16"/>
        </w:rPr>
        <w:t xml:space="preserve"> </w:t>
      </w:r>
      <w:r w:rsidRPr="007A3BFF">
        <w:rPr>
          <w:i/>
          <w:sz w:val="16"/>
          <w:szCs w:val="16"/>
        </w:rPr>
        <w:tab/>
        <w:t xml:space="preserve">Cfr. Caso Castillo </w:t>
      </w:r>
      <w:proofErr w:type="spellStart"/>
      <w:r w:rsidRPr="007A3BFF">
        <w:rPr>
          <w:i/>
          <w:sz w:val="16"/>
          <w:szCs w:val="16"/>
        </w:rPr>
        <w:t>Petruzzi</w:t>
      </w:r>
      <w:proofErr w:type="spellEnd"/>
      <w:r w:rsidRPr="007A3BFF">
        <w:rPr>
          <w:i/>
          <w:sz w:val="16"/>
          <w:szCs w:val="16"/>
        </w:rPr>
        <w:t xml:space="preserve"> y otros Vs. Perú. Fondo, Reparaciones y Costas, supra, párr. 207, </w:t>
      </w:r>
      <w:r w:rsidRPr="00793E88">
        <w:rPr>
          <w:i/>
          <w:sz w:val="16"/>
          <w:szCs w:val="16"/>
        </w:rPr>
        <w:t xml:space="preserve">Caso </w:t>
      </w:r>
      <w:proofErr w:type="spellStart"/>
      <w:r w:rsidRPr="00793E88">
        <w:rPr>
          <w:i/>
          <w:sz w:val="16"/>
          <w:szCs w:val="16"/>
        </w:rPr>
        <w:t>Amrhein</w:t>
      </w:r>
      <w:proofErr w:type="spellEnd"/>
      <w:r w:rsidRPr="00793E88">
        <w:rPr>
          <w:i/>
          <w:sz w:val="16"/>
          <w:szCs w:val="16"/>
        </w:rPr>
        <w:t xml:space="preserve"> y otros Vs. Costa Rica</w:t>
      </w:r>
      <w:r>
        <w:rPr>
          <w:i/>
          <w:sz w:val="16"/>
          <w:szCs w:val="16"/>
        </w:rPr>
        <w:t>, supra</w:t>
      </w:r>
      <w:r w:rsidRPr="007A3BFF">
        <w:rPr>
          <w:sz w:val="16"/>
          <w:szCs w:val="16"/>
        </w:rPr>
        <w:t xml:space="preserve">, párr. </w:t>
      </w:r>
      <w:r>
        <w:rPr>
          <w:sz w:val="16"/>
          <w:szCs w:val="16"/>
        </w:rPr>
        <w:t>259</w:t>
      </w:r>
      <w:r w:rsidRPr="007A3BFF">
        <w:rPr>
          <w:sz w:val="16"/>
          <w:szCs w:val="16"/>
        </w:rPr>
        <w:t>.</w:t>
      </w:r>
    </w:p>
  </w:footnote>
  <w:footnote w:id="103">
    <w:p w14:paraId="1D169C52" w14:textId="21CEA2D6" w:rsidR="00997C54" w:rsidRPr="007A3BFF" w:rsidRDefault="00997C54" w:rsidP="003E34C2">
      <w:pPr>
        <w:pStyle w:val="Textonotapie"/>
        <w:rPr>
          <w:sz w:val="16"/>
          <w:szCs w:val="16"/>
        </w:rPr>
      </w:pPr>
      <w:r w:rsidRPr="007A3BFF">
        <w:rPr>
          <w:rStyle w:val="Refdenotaalpie"/>
          <w:sz w:val="16"/>
          <w:szCs w:val="16"/>
        </w:rPr>
        <w:footnoteRef/>
      </w:r>
      <w:r w:rsidRPr="007A3BFF">
        <w:rPr>
          <w:sz w:val="16"/>
          <w:szCs w:val="16"/>
        </w:rPr>
        <w:t xml:space="preserve"> </w:t>
      </w:r>
      <w:r w:rsidRPr="007A3BFF">
        <w:rPr>
          <w:sz w:val="16"/>
          <w:szCs w:val="16"/>
        </w:rPr>
        <w:tab/>
      </w:r>
      <w:r w:rsidRPr="007A3BFF">
        <w:rPr>
          <w:i/>
          <w:sz w:val="16"/>
          <w:szCs w:val="16"/>
        </w:rPr>
        <w:t>Cfr.</w:t>
      </w:r>
      <w:r w:rsidRPr="007A3BFF">
        <w:rPr>
          <w:sz w:val="16"/>
          <w:szCs w:val="16"/>
        </w:rPr>
        <w:t xml:space="preserve"> </w:t>
      </w:r>
      <w:r w:rsidRPr="007A3BFF">
        <w:rPr>
          <w:i/>
          <w:sz w:val="16"/>
          <w:szCs w:val="16"/>
        </w:rPr>
        <w:t xml:space="preserve">Caso Neira Alegría y otros Vs. Perú. Fondo. </w:t>
      </w:r>
      <w:r w:rsidRPr="007A3BFF">
        <w:rPr>
          <w:sz w:val="16"/>
          <w:szCs w:val="16"/>
        </w:rPr>
        <w:t xml:space="preserve">Sentencia de 19 de enero de 1995. Serie C No. 20, párr. 82, </w:t>
      </w:r>
      <w:r w:rsidRPr="00793E88">
        <w:rPr>
          <w:sz w:val="16"/>
          <w:szCs w:val="16"/>
        </w:rPr>
        <w:t>y</w:t>
      </w:r>
      <w:r w:rsidRPr="007A3BFF">
        <w:rPr>
          <w:i/>
          <w:sz w:val="16"/>
          <w:szCs w:val="16"/>
        </w:rPr>
        <w:t xml:space="preserve"> Caso </w:t>
      </w:r>
      <w:proofErr w:type="spellStart"/>
      <w:r w:rsidRPr="007A3BFF">
        <w:rPr>
          <w:i/>
          <w:sz w:val="16"/>
          <w:szCs w:val="16"/>
        </w:rPr>
        <w:t>Anzualdo</w:t>
      </w:r>
      <w:proofErr w:type="spellEnd"/>
      <w:r w:rsidRPr="007A3BFF">
        <w:rPr>
          <w:i/>
          <w:sz w:val="16"/>
          <w:szCs w:val="16"/>
        </w:rPr>
        <w:t xml:space="preserve"> Castro Vs. Perú. Excepción Preliminar, Fondo, Reparaciones y Costas</w:t>
      </w:r>
      <w:r w:rsidRPr="007A3BFF">
        <w:rPr>
          <w:sz w:val="16"/>
          <w:szCs w:val="16"/>
        </w:rPr>
        <w:t>. Sentencia de 22 de septiembre de 2009. Serie C No. 202, párr. 72.</w:t>
      </w:r>
    </w:p>
  </w:footnote>
  <w:footnote w:id="104">
    <w:p w14:paraId="2BE637C6" w14:textId="4451619D" w:rsidR="00997C54" w:rsidRPr="007A3BFF" w:rsidRDefault="00997C54">
      <w:pPr>
        <w:pStyle w:val="Textonotapie"/>
        <w:rPr>
          <w:sz w:val="16"/>
          <w:szCs w:val="16"/>
        </w:rPr>
      </w:pPr>
      <w:r w:rsidRPr="007A3BFF">
        <w:rPr>
          <w:rStyle w:val="Refdenotaalpie"/>
          <w:sz w:val="16"/>
          <w:szCs w:val="16"/>
        </w:rPr>
        <w:footnoteRef/>
      </w:r>
      <w:r w:rsidRPr="007A3BFF">
        <w:rPr>
          <w:sz w:val="16"/>
          <w:szCs w:val="16"/>
        </w:rPr>
        <w:t xml:space="preserve"> </w:t>
      </w:r>
      <w:r w:rsidRPr="007A3BFF">
        <w:rPr>
          <w:sz w:val="16"/>
          <w:szCs w:val="16"/>
        </w:rPr>
        <w:tab/>
        <w:t xml:space="preserve">Artículo 8 y 25 de la Convención Americana. </w:t>
      </w:r>
    </w:p>
  </w:footnote>
  <w:footnote w:id="105">
    <w:p w14:paraId="0777A945" w14:textId="602BDB3C" w:rsidR="00997C54" w:rsidRPr="007A3BFF" w:rsidRDefault="00997C54" w:rsidP="003E34C2">
      <w:pPr>
        <w:pStyle w:val="Textonotapie"/>
        <w:rPr>
          <w:sz w:val="16"/>
          <w:szCs w:val="16"/>
        </w:rPr>
      </w:pPr>
      <w:r w:rsidRPr="007A3BFF">
        <w:rPr>
          <w:rStyle w:val="Refdenotaalpie"/>
          <w:sz w:val="16"/>
          <w:szCs w:val="16"/>
        </w:rPr>
        <w:footnoteRef/>
      </w:r>
      <w:r w:rsidRPr="007A3BFF">
        <w:rPr>
          <w:sz w:val="16"/>
          <w:szCs w:val="16"/>
        </w:rPr>
        <w:t xml:space="preserve"> </w:t>
      </w:r>
      <w:r w:rsidRPr="007A3BFF">
        <w:rPr>
          <w:sz w:val="16"/>
          <w:szCs w:val="16"/>
        </w:rPr>
        <w:tab/>
      </w:r>
      <w:r w:rsidRPr="007A3BFF">
        <w:rPr>
          <w:i/>
          <w:sz w:val="16"/>
          <w:szCs w:val="16"/>
        </w:rPr>
        <w:t xml:space="preserve">Cfr. Caso Hilaire, </w:t>
      </w:r>
      <w:proofErr w:type="spellStart"/>
      <w:r w:rsidRPr="007A3BFF">
        <w:rPr>
          <w:i/>
          <w:sz w:val="16"/>
          <w:szCs w:val="16"/>
        </w:rPr>
        <w:t>Constantine</w:t>
      </w:r>
      <w:proofErr w:type="spellEnd"/>
      <w:r w:rsidRPr="007A3BFF">
        <w:rPr>
          <w:i/>
          <w:sz w:val="16"/>
          <w:szCs w:val="16"/>
        </w:rPr>
        <w:t xml:space="preserve"> y </w:t>
      </w:r>
      <w:proofErr w:type="spellStart"/>
      <w:r w:rsidRPr="007A3BFF">
        <w:rPr>
          <w:i/>
          <w:sz w:val="16"/>
          <w:szCs w:val="16"/>
        </w:rPr>
        <w:t>Benjamin</w:t>
      </w:r>
      <w:proofErr w:type="spellEnd"/>
      <w:r w:rsidRPr="007A3BFF">
        <w:rPr>
          <w:i/>
          <w:sz w:val="16"/>
          <w:szCs w:val="16"/>
        </w:rPr>
        <w:t xml:space="preserve"> y otros Vs. Trinidad y Tobago. Fondo, Reparaciones y Costas</w:t>
      </w:r>
      <w:r w:rsidRPr="007A3BFF">
        <w:rPr>
          <w:iCs/>
          <w:sz w:val="16"/>
          <w:szCs w:val="16"/>
        </w:rPr>
        <w:t>. Sentencia de 21 de junio de 2002. Serie C No. 94</w:t>
      </w:r>
      <w:r w:rsidRPr="007A3BFF">
        <w:rPr>
          <w:sz w:val="16"/>
          <w:szCs w:val="16"/>
        </w:rPr>
        <w:t xml:space="preserve">, párr. 145, y </w:t>
      </w:r>
      <w:r w:rsidRPr="007A3BFF">
        <w:rPr>
          <w:rStyle w:val="Textoennegrita"/>
          <w:b w:val="0"/>
          <w:i/>
          <w:sz w:val="16"/>
          <w:szCs w:val="16"/>
        </w:rPr>
        <w:t>Caso Muelle Flores Vs. Perú</w:t>
      </w:r>
      <w:r>
        <w:rPr>
          <w:rStyle w:val="Textoennegrita"/>
          <w:b w:val="0"/>
          <w:i/>
          <w:sz w:val="16"/>
          <w:szCs w:val="16"/>
        </w:rPr>
        <w:t>, supra</w:t>
      </w:r>
      <w:r w:rsidRPr="007A3BFF">
        <w:rPr>
          <w:rStyle w:val="Textoennegrita"/>
          <w:b w:val="0"/>
          <w:sz w:val="16"/>
          <w:szCs w:val="16"/>
        </w:rPr>
        <w:t>, párr. 154</w:t>
      </w:r>
      <w:r w:rsidRPr="007A3BFF">
        <w:rPr>
          <w:b/>
          <w:sz w:val="16"/>
          <w:szCs w:val="16"/>
        </w:rPr>
        <w:t>.</w:t>
      </w:r>
    </w:p>
  </w:footnote>
  <w:footnote w:id="106">
    <w:p w14:paraId="14A56761" w14:textId="02F7C042" w:rsidR="00997C54" w:rsidRPr="007A3BFF" w:rsidRDefault="00997C54" w:rsidP="003E34C2">
      <w:pPr>
        <w:pStyle w:val="Textonotapie"/>
        <w:rPr>
          <w:sz w:val="16"/>
          <w:szCs w:val="16"/>
          <w:lang w:val="es-CR"/>
        </w:rPr>
      </w:pPr>
      <w:r w:rsidRPr="007A3BFF">
        <w:rPr>
          <w:rStyle w:val="Refdenotaalpie"/>
          <w:sz w:val="16"/>
          <w:szCs w:val="16"/>
          <w:lang w:val="es-CR"/>
        </w:rPr>
        <w:footnoteRef/>
      </w:r>
      <w:r w:rsidRPr="007A3BFF">
        <w:rPr>
          <w:sz w:val="16"/>
          <w:szCs w:val="16"/>
          <w:lang w:val="es-CR"/>
        </w:rPr>
        <w:t xml:space="preserve"> </w:t>
      </w:r>
      <w:r w:rsidRPr="007A3BFF">
        <w:rPr>
          <w:sz w:val="16"/>
          <w:szCs w:val="16"/>
          <w:lang w:val="es-CR"/>
        </w:rPr>
        <w:tab/>
      </w:r>
      <w:r w:rsidRPr="007A3BFF">
        <w:rPr>
          <w:i/>
          <w:sz w:val="16"/>
          <w:szCs w:val="16"/>
          <w:lang w:val="es-CR"/>
        </w:rPr>
        <w:t xml:space="preserve">Cfr. Caso </w:t>
      </w:r>
      <w:r w:rsidRPr="007A3BFF">
        <w:rPr>
          <w:i/>
          <w:sz w:val="16"/>
          <w:szCs w:val="16"/>
          <w:lang w:val="es-CR"/>
        </w:rPr>
        <w:t>Anzualdo Castro Vs. Perú</w:t>
      </w:r>
      <w:r>
        <w:rPr>
          <w:i/>
          <w:sz w:val="16"/>
          <w:szCs w:val="16"/>
          <w:lang w:val="es-CR"/>
        </w:rPr>
        <w:t>, supra</w:t>
      </w:r>
      <w:r w:rsidRPr="007A3BFF">
        <w:rPr>
          <w:sz w:val="16"/>
          <w:szCs w:val="16"/>
          <w:lang w:val="es-CR"/>
        </w:rPr>
        <w:t xml:space="preserve">, párr. 156, y </w:t>
      </w:r>
      <w:r w:rsidRPr="007A3BFF">
        <w:rPr>
          <w:rStyle w:val="Textoennegrita"/>
          <w:b w:val="0"/>
          <w:i/>
          <w:sz w:val="16"/>
          <w:szCs w:val="16"/>
        </w:rPr>
        <w:t>Caso Muelle Flores Vs. Perú</w:t>
      </w:r>
      <w:r>
        <w:rPr>
          <w:rStyle w:val="Textoennegrita"/>
          <w:b w:val="0"/>
          <w:i/>
          <w:sz w:val="16"/>
          <w:szCs w:val="16"/>
        </w:rPr>
        <w:t>, supra</w:t>
      </w:r>
      <w:r w:rsidRPr="007A3BFF">
        <w:rPr>
          <w:rStyle w:val="Textoennegrita"/>
          <w:b w:val="0"/>
          <w:sz w:val="16"/>
          <w:szCs w:val="16"/>
        </w:rPr>
        <w:t>, párr. 155</w:t>
      </w:r>
      <w:r w:rsidRPr="007A3BFF">
        <w:rPr>
          <w:b/>
          <w:sz w:val="16"/>
          <w:szCs w:val="16"/>
          <w:lang w:val="es-CR"/>
        </w:rPr>
        <w:t>.</w:t>
      </w:r>
    </w:p>
  </w:footnote>
  <w:footnote w:id="107">
    <w:p w14:paraId="287BA744" w14:textId="3365CD20" w:rsidR="00997C54" w:rsidRPr="007A3BFF" w:rsidRDefault="00997C54" w:rsidP="003E34C2">
      <w:pPr>
        <w:pStyle w:val="Textonotapie"/>
        <w:rPr>
          <w:sz w:val="16"/>
          <w:szCs w:val="16"/>
        </w:rPr>
      </w:pPr>
      <w:r w:rsidRPr="007A3BFF">
        <w:rPr>
          <w:rStyle w:val="Refdenotaalpie"/>
          <w:sz w:val="16"/>
          <w:szCs w:val="16"/>
        </w:rPr>
        <w:footnoteRef/>
      </w:r>
      <w:r w:rsidRPr="007A3BFF">
        <w:rPr>
          <w:i/>
          <w:sz w:val="16"/>
          <w:szCs w:val="16"/>
        </w:rPr>
        <w:t xml:space="preserve"> </w:t>
      </w:r>
      <w:r w:rsidRPr="007A3BFF">
        <w:rPr>
          <w:i/>
          <w:sz w:val="16"/>
          <w:szCs w:val="16"/>
        </w:rPr>
        <w:tab/>
        <w:t xml:space="preserve">Cfr. Caso Suárez Rosero Vs. Ecuador. Reparaciones y Costas. </w:t>
      </w:r>
      <w:r w:rsidRPr="007A3BFF">
        <w:rPr>
          <w:sz w:val="16"/>
          <w:szCs w:val="16"/>
        </w:rPr>
        <w:t>Sentencia de 20 de enero de 1999. Serie C No. 44</w:t>
      </w:r>
      <w:r w:rsidRPr="007A3BFF">
        <w:rPr>
          <w:i/>
          <w:sz w:val="16"/>
          <w:szCs w:val="16"/>
        </w:rPr>
        <w:t>,</w:t>
      </w:r>
      <w:r w:rsidRPr="007A3BFF">
        <w:rPr>
          <w:sz w:val="16"/>
          <w:szCs w:val="16"/>
          <w:lang w:val="es-CR"/>
        </w:rPr>
        <w:t xml:space="preserve"> párr. 71</w:t>
      </w:r>
      <w:r w:rsidRPr="007A3BFF">
        <w:rPr>
          <w:i/>
          <w:sz w:val="16"/>
          <w:szCs w:val="16"/>
          <w:lang w:val="es-CR"/>
        </w:rPr>
        <w:t xml:space="preserve">, </w:t>
      </w:r>
      <w:r w:rsidRPr="007A3BFF">
        <w:rPr>
          <w:sz w:val="16"/>
          <w:szCs w:val="16"/>
          <w:lang w:val="es-CR"/>
        </w:rPr>
        <w:t xml:space="preserve">y </w:t>
      </w:r>
      <w:r w:rsidRPr="007A3BFF">
        <w:rPr>
          <w:bCs/>
          <w:i/>
          <w:sz w:val="16"/>
          <w:szCs w:val="16"/>
        </w:rPr>
        <w:t xml:space="preserve">Caso </w:t>
      </w:r>
      <w:proofErr w:type="spellStart"/>
      <w:r w:rsidRPr="007A3BFF">
        <w:rPr>
          <w:bCs/>
          <w:i/>
          <w:sz w:val="16"/>
          <w:szCs w:val="16"/>
        </w:rPr>
        <w:t>Quispialaya</w:t>
      </w:r>
      <w:proofErr w:type="spellEnd"/>
      <w:r w:rsidRPr="007A3BFF">
        <w:rPr>
          <w:bCs/>
          <w:i/>
          <w:sz w:val="16"/>
          <w:szCs w:val="16"/>
        </w:rPr>
        <w:t xml:space="preserve"> Vilcapoma Vs. Perú. Excepciones Preliminares, Fondo, Reparaciones y Costas. </w:t>
      </w:r>
      <w:r w:rsidRPr="007A3BFF">
        <w:rPr>
          <w:bCs/>
          <w:sz w:val="16"/>
          <w:szCs w:val="16"/>
        </w:rPr>
        <w:t>Sentencia de 23 de noviembre de 2015. Serie C No. 308, párr. 176</w:t>
      </w:r>
      <w:r w:rsidRPr="007A3BFF">
        <w:rPr>
          <w:sz w:val="16"/>
          <w:szCs w:val="16"/>
        </w:rPr>
        <w:t>.</w:t>
      </w:r>
    </w:p>
  </w:footnote>
  <w:footnote w:id="108">
    <w:p w14:paraId="2ACCA9EE" w14:textId="3F8383EA" w:rsidR="00997C54" w:rsidRPr="007A3BFF" w:rsidRDefault="00997C54" w:rsidP="003E34C2">
      <w:pPr>
        <w:pStyle w:val="Textonotapie"/>
        <w:rPr>
          <w:sz w:val="16"/>
          <w:szCs w:val="16"/>
        </w:rPr>
      </w:pPr>
      <w:r w:rsidRPr="007A3BFF">
        <w:rPr>
          <w:rStyle w:val="Refdenotaalpie"/>
          <w:sz w:val="16"/>
          <w:szCs w:val="16"/>
        </w:rPr>
        <w:footnoteRef/>
      </w:r>
      <w:r w:rsidRPr="007A3BFF">
        <w:rPr>
          <w:sz w:val="16"/>
          <w:szCs w:val="16"/>
        </w:rPr>
        <w:t xml:space="preserve"> </w:t>
      </w:r>
      <w:r w:rsidRPr="007A3BFF">
        <w:rPr>
          <w:sz w:val="16"/>
          <w:szCs w:val="16"/>
        </w:rPr>
        <w:tab/>
      </w:r>
      <w:r w:rsidRPr="007A3BFF">
        <w:rPr>
          <w:i/>
          <w:iCs/>
          <w:sz w:val="16"/>
          <w:szCs w:val="16"/>
        </w:rPr>
        <w:t xml:space="preserve">Cfr. </w:t>
      </w:r>
      <w:r w:rsidRPr="007A3BFF">
        <w:rPr>
          <w:rFonts w:eastAsiaTheme="minorHAnsi"/>
          <w:sz w:val="16"/>
          <w:szCs w:val="16"/>
          <w:lang w:eastAsia="en-US"/>
        </w:rPr>
        <w:t xml:space="preserve">Demanda por daños </w:t>
      </w:r>
      <w:r w:rsidRPr="007A3BFF">
        <w:rPr>
          <w:rFonts w:eastAsiaTheme="minorHAnsi" w:cs="Arial"/>
          <w:iCs/>
          <w:sz w:val="16"/>
          <w:szCs w:val="16"/>
          <w:lang w:eastAsia="en-US"/>
        </w:rPr>
        <w:t xml:space="preserve">y </w:t>
      </w:r>
      <w:r w:rsidRPr="007A3BFF">
        <w:rPr>
          <w:rFonts w:eastAsiaTheme="minorHAnsi"/>
          <w:sz w:val="16"/>
          <w:szCs w:val="16"/>
          <w:lang w:eastAsia="en-US"/>
        </w:rPr>
        <w:t xml:space="preserve">perjuicios interpuesta por el señor Jenkins contra el Estado </w:t>
      </w:r>
      <w:r w:rsidRPr="007A3BFF">
        <w:rPr>
          <w:rFonts w:eastAsiaTheme="minorHAnsi" w:cs="Arial"/>
          <w:sz w:val="16"/>
          <w:szCs w:val="16"/>
          <w:lang w:eastAsia="en-US"/>
        </w:rPr>
        <w:t xml:space="preserve">y </w:t>
      </w:r>
      <w:r w:rsidRPr="007A3BFF">
        <w:rPr>
          <w:rFonts w:eastAsiaTheme="minorHAnsi"/>
          <w:sz w:val="16"/>
          <w:szCs w:val="16"/>
          <w:lang w:eastAsia="en-US"/>
        </w:rPr>
        <w:t xml:space="preserve">contra el juez que ordenó su detención, de 27 diciembre de 1999 </w:t>
      </w:r>
      <w:r w:rsidRPr="007A3BFF">
        <w:rPr>
          <w:sz w:val="16"/>
          <w:szCs w:val="16"/>
        </w:rPr>
        <w:t>(expediente de prueba, folios 4820 a 4836).</w:t>
      </w:r>
    </w:p>
  </w:footnote>
  <w:footnote w:id="109">
    <w:p w14:paraId="089FDB38" w14:textId="77777777" w:rsidR="00997C54" w:rsidRPr="007A3BFF" w:rsidRDefault="00997C54" w:rsidP="003E34C2">
      <w:pPr>
        <w:pStyle w:val="Textonotapie"/>
        <w:rPr>
          <w:sz w:val="16"/>
          <w:szCs w:val="16"/>
        </w:rPr>
      </w:pPr>
      <w:r w:rsidRPr="007A3BFF">
        <w:rPr>
          <w:rStyle w:val="Refdenotaalpie"/>
          <w:sz w:val="16"/>
          <w:szCs w:val="16"/>
        </w:rPr>
        <w:footnoteRef/>
      </w:r>
      <w:r w:rsidRPr="007A3BFF">
        <w:rPr>
          <w:sz w:val="16"/>
          <w:szCs w:val="16"/>
        </w:rPr>
        <w:t xml:space="preserve"> </w:t>
      </w:r>
      <w:r w:rsidRPr="007A3BFF">
        <w:rPr>
          <w:sz w:val="16"/>
          <w:szCs w:val="16"/>
        </w:rPr>
        <w:tab/>
      </w:r>
      <w:r w:rsidRPr="007A3BFF">
        <w:rPr>
          <w:i/>
          <w:iCs/>
          <w:sz w:val="16"/>
          <w:szCs w:val="16"/>
        </w:rPr>
        <w:t xml:space="preserve">Cfr. </w:t>
      </w:r>
      <w:r w:rsidRPr="007A3BFF">
        <w:rPr>
          <w:sz w:val="16"/>
          <w:szCs w:val="16"/>
        </w:rPr>
        <w:t>Decisión del Juzgado Contencioso Administrativo Federal No. 10, de 8 de junio de 2000 (expediente de prueba, folios 4658 a 4660).</w:t>
      </w:r>
    </w:p>
  </w:footnote>
  <w:footnote w:id="110">
    <w:p w14:paraId="77A998F4" w14:textId="0C2D5910" w:rsidR="00997C54" w:rsidRPr="007A3BFF" w:rsidRDefault="00997C54" w:rsidP="003E34C2">
      <w:pPr>
        <w:pStyle w:val="Textonotapie"/>
        <w:rPr>
          <w:sz w:val="16"/>
          <w:szCs w:val="16"/>
        </w:rPr>
      </w:pPr>
      <w:r w:rsidRPr="007A3BFF">
        <w:rPr>
          <w:rStyle w:val="Refdenotaalpie"/>
          <w:sz w:val="16"/>
          <w:szCs w:val="16"/>
        </w:rPr>
        <w:footnoteRef/>
      </w:r>
      <w:r w:rsidRPr="007A3BFF">
        <w:rPr>
          <w:sz w:val="16"/>
          <w:szCs w:val="16"/>
        </w:rPr>
        <w:t xml:space="preserve"> </w:t>
      </w:r>
      <w:r w:rsidRPr="007A3BFF">
        <w:rPr>
          <w:sz w:val="16"/>
          <w:szCs w:val="16"/>
        </w:rPr>
        <w:tab/>
      </w:r>
      <w:r w:rsidRPr="007A3BFF">
        <w:rPr>
          <w:i/>
          <w:iCs/>
          <w:sz w:val="16"/>
          <w:szCs w:val="16"/>
        </w:rPr>
        <w:t xml:space="preserve">Cfr. </w:t>
      </w:r>
      <w:r w:rsidRPr="007A3BFF">
        <w:rPr>
          <w:sz w:val="16"/>
          <w:szCs w:val="16"/>
        </w:rPr>
        <w:t>Sentencia del Juzgado Contencioso Administrativo Federal No. 10 rechazando la demanda interpuesta de daños y perjuicios por el Sr. Jenkins el 30 de abril de 2007 (expediente de prueba, folios 57</w:t>
      </w:r>
      <w:r>
        <w:rPr>
          <w:sz w:val="16"/>
          <w:szCs w:val="16"/>
        </w:rPr>
        <w:t>36</w:t>
      </w:r>
      <w:r w:rsidRPr="007A3BFF">
        <w:rPr>
          <w:sz w:val="16"/>
          <w:szCs w:val="16"/>
        </w:rPr>
        <w:t xml:space="preserve"> a 574</w:t>
      </w:r>
      <w:r>
        <w:rPr>
          <w:sz w:val="16"/>
          <w:szCs w:val="16"/>
        </w:rPr>
        <w:t>5</w:t>
      </w:r>
      <w:r w:rsidRPr="007A3BFF">
        <w:rPr>
          <w:sz w:val="16"/>
          <w:szCs w:val="16"/>
        </w:rPr>
        <w:t>).</w:t>
      </w:r>
    </w:p>
  </w:footnote>
  <w:footnote w:id="111">
    <w:p w14:paraId="405DCFE3" w14:textId="77777777" w:rsidR="00997C54" w:rsidRPr="007A3BFF" w:rsidRDefault="00997C54" w:rsidP="003E34C2">
      <w:pPr>
        <w:pStyle w:val="Textonotapie"/>
        <w:rPr>
          <w:sz w:val="16"/>
          <w:szCs w:val="16"/>
        </w:rPr>
      </w:pPr>
      <w:r w:rsidRPr="007A3BFF">
        <w:rPr>
          <w:rStyle w:val="Refdenotaalpie"/>
          <w:sz w:val="16"/>
          <w:szCs w:val="16"/>
        </w:rPr>
        <w:footnoteRef/>
      </w:r>
      <w:r w:rsidRPr="007A3BFF">
        <w:rPr>
          <w:sz w:val="16"/>
          <w:szCs w:val="16"/>
        </w:rPr>
        <w:t xml:space="preserve"> </w:t>
      </w:r>
      <w:r w:rsidRPr="007A3BFF">
        <w:rPr>
          <w:sz w:val="16"/>
          <w:szCs w:val="16"/>
        </w:rPr>
        <w:tab/>
      </w:r>
      <w:r w:rsidRPr="007A3BFF">
        <w:rPr>
          <w:i/>
          <w:iCs/>
          <w:sz w:val="16"/>
          <w:szCs w:val="16"/>
        </w:rPr>
        <w:t xml:space="preserve">Cfr. </w:t>
      </w:r>
      <w:r w:rsidRPr="007A3BFF">
        <w:rPr>
          <w:sz w:val="16"/>
          <w:szCs w:val="16"/>
        </w:rPr>
        <w:t>Sentencia de la Sala III de la Cámara Nacional de Apelaciones en lo contencioso administrativo Federal, de 25 de marzo de 2008 (expediente de prueba, folios 4668 a 1669).</w:t>
      </w:r>
    </w:p>
  </w:footnote>
  <w:footnote w:id="112">
    <w:p w14:paraId="69FD0C0F" w14:textId="1D235E19" w:rsidR="00997C54" w:rsidRPr="007A3BFF" w:rsidRDefault="00997C54" w:rsidP="003E34C2">
      <w:pPr>
        <w:pStyle w:val="Textonotapie"/>
        <w:rPr>
          <w:sz w:val="16"/>
          <w:szCs w:val="16"/>
          <w:lang w:val="es-CR"/>
        </w:rPr>
      </w:pPr>
      <w:r w:rsidRPr="007A3BFF">
        <w:rPr>
          <w:rStyle w:val="Refdenotaalpie"/>
          <w:sz w:val="16"/>
          <w:szCs w:val="16"/>
        </w:rPr>
        <w:footnoteRef/>
      </w:r>
      <w:r w:rsidRPr="007A3BFF">
        <w:rPr>
          <w:sz w:val="16"/>
          <w:szCs w:val="16"/>
        </w:rPr>
        <w:t xml:space="preserve"> </w:t>
      </w:r>
      <w:r w:rsidRPr="007A3BFF">
        <w:rPr>
          <w:sz w:val="16"/>
          <w:szCs w:val="16"/>
        </w:rPr>
        <w:tab/>
      </w:r>
      <w:r w:rsidRPr="007A3BFF">
        <w:rPr>
          <w:bCs/>
          <w:i/>
          <w:sz w:val="16"/>
          <w:szCs w:val="16"/>
        </w:rPr>
        <w:t xml:space="preserve">Cfr. Caso Genie Lacayo Vs. Nicaragua. Excepciones Preliminares. Sentencia de 27 de enero de 1995. </w:t>
      </w:r>
      <w:r w:rsidRPr="007A3BFF">
        <w:rPr>
          <w:bCs/>
          <w:sz w:val="16"/>
          <w:szCs w:val="16"/>
        </w:rPr>
        <w:t xml:space="preserve">Serie C No. 21, párr. 78, y </w:t>
      </w:r>
      <w:r w:rsidRPr="007A3BFF">
        <w:rPr>
          <w:i/>
          <w:sz w:val="16"/>
          <w:szCs w:val="16"/>
        </w:rPr>
        <w:t>Caso Muelle Flores Vs. Perú</w:t>
      </w:r>
      <w:r>
        <w:rPr>
          <w:i/>
          <w:sz w:val="16"/>
          <w:szCs w:val="16"/>
        </w:rPr>
        <w:t>, supra</w:t>
      </w:r>
      <w:r w:rsidRPr="007A3BFF">
        <w:rPr>
          <w:sz w:val="16"/>
          <w:szCs w:val="16"/>
        </w:rPr>
        <w:t>, párr. 159.</w:t>
      </w:r>
    </w:p>
  </w:footnote>
  <w:footnote w:id="113">
    <w:p w14:paraId="2BC47810" w14:textId="77777777" w:rsidR="00997C54" w:rsidRPr="007A3BFF" w:rsidRDefault="00997C54" w:rsidP="003E34C2">
      <w:pPr>
        <w:pStyle w:val="Textonotapie"/>
        <w:rPr>
          <w:sz w:val="16"/>
          <w:szCs w:val="16"/>
        </w:rPr>
      </w:pPr>
      <w:r w:rsidRPr="007A3BFF">
        <w:rPr>
          <w:rStyle w:val="Refdenotaalpie"/>
          <w:sz w:val="16"/>
          <w:szCs w:val="16"/>
        </w:rPr>
        <w:footnoteRef/>
      </w:r>
      <w:r w:rsidRPr="007A3BFF">
        <w:rPr>
          <w:sz w:val="16"/>
          <w:szCs w:val="16"/>
        </w:rPr>
        <w:t xml:space="preserve"> </w:t>
      </w:r>
      <w:r w:rsidRPr="007A3BFF">
        <w:rPr>
          <w:sz w:val="16"/>
          <w:szCs w:val="16"/>
        </w:rPr>
        <w:tab/>
      </w:r>
      <w:r w:rsidRPr="007A3BFF">
        <w:rPr>
          <w:i/>
          <w:iCs/>
          <w:sz w:val="16"/>
          <w:szCs w:val="16"/>
        </w:rPr>
        <w:t xml:space="preserve">Cfr. </w:t>
      </w:r>
      <w:r w:rsidRPr="007A3BFF">
        <w:rPr>
          <w:color w:val="000000"/>
          <w:sz w:val="16"/>
          <w:szCs w:val="16"/>
        </w:rPr>
        <w:t xml:space="preserve">Sentencia del Tribunal Oral en lo Criminal Federal No. 6 de la Capital Federal, de 23 de diciembre de 1997 </w:t>
      </w:r>
      <w:r w:rsidRPr="007A3BFF">
        <w:rPr>
          <w:sz w:val="16"/>
          <w:szCs w:val="16"/>
        </w:rPr>
        <w:t>(expediente de prueba, folio 4267).</w:t>
      </w:r>
    </w:p>
  </w:footnote>
  <w:footnote w:id="114">
    <w:p w14:paraId="2B3EC4C5" w14:textId="3CBE46E1" w:rsidR="00997C54" w:rsidRPr="007A3BFF" w:rsidRDefault="00997C54" w:rsidP="003E34C2">
      <w:pPr>
        <w:pStyle w:val="Textonotapie"/>
        <w:rPr>
          <w:sz w:val="16"/>
          <w:szCs w:val="16"/>
        </w:rPr>
      </w:pPr>
      <w:r w:rsidRPr="007A3BFF">
        <w:rPr>
          <w:rStyle w:val="Refdenotaalpie"/>
          <w:sz w:val="16"/>
          <w:szCs w:val="16"/>
        </w:rPr>
        <w:footnoteRef/>
      </w:r>
      <w:r w:rsidRPr="007A3BFF">
        <w:rPr>
          <w:sz w:val="16"/>
          <w:szCs w:val="16"/>
        </w:rPr>
        <w:t xml:space="preserve"> </w:t>
      </w:r>
      <w:r w:rsidRPr="007A3BFF">
        <w:rPr>
          <w:sz w:val="16"/>
          <w:szCs w:val="16"/>
        </w:rPr>
        <w:tab/>
      </w:r>
      <w:r w:rsidRPr="007A3BFF">
        <w:rPr>
          <w:i/>
          <w:iCs/>
          <w:sz w:val="16"/>
          <w:szCs w:val="16"/>
        </w:rPr>
        <w:t xml:space="preserve">Cfr. </w:t>
      </w:r>
      <w:r w:rsidRPr="007A3BFF">
        <w:rPr>
          <w:color w:val="000000"/>
          <w:sz w:val="16"/>
          <w:szCs w:val="16"/>
        </w:rPr>
        <w:t xml:space="preserve">Resolución respecto de la soltura del </w:t>
      </w:r>
      <w:r>
        <w:rPr>
          <w:color w:val="000000"/>
          <w:sz w:val="16"/>
          <w:szCs w:val="16"/>
        </w:rPr>
        <w:t>señor</w:t>
      </w:r>
      <w:r w:rsidRPr="007A3BFF">
        <w:rPr>
          <w:color w:val="000000"/>
          <w:sz w:val="16"/>
          <w:szCs w:val="16"/>
        </w:rPr>
        <w:t xml:space="preserve"> Jenkins, disponiendo su libertad inmediata, de 19 de noviembre de 1997 </w:t>
      </w:r>
      <w:r w:rsidRPr="007A3BFF">
        <w:rPr>
          <w:sz w:val="16"/>
          <w:szCs w:val="16"/>
        </w:rPr>
        <w:t>(expediente de prueba, folio 5875).</w:t>
      </w:r>
    </w:p>
  </w:footnote>
  <w:footnote w:id="115">
    <w:p w14:paraId="220F93EF" w14:textId="47E8FA6E" w:rsidR="00997C54" w:rsidRPr="007A3BFF" w:rsidRDefault="00997C54" w:rsidP="003E34C2">
      <w:pPr>
        <w:pStyle w:val="Textonotapie"/>
        <w:rPr>
          <w:sz w:val="16"/>
          <w:szCs w:val="16"/>
        </w:rPr>
      </w:pPr>
      <w:r w:rsidRPr="007A3BFF">
        <w:rPr>
          <w:rStyle w:val="Refdenotaalpie"/>
          <w:sz w:val="16"/>
          <w:szCs w:val="16"/>
        </w:rPr>
        <w:footnoteRef/>
      </w:r>
      <w:r w:rsidRPr="007A3BFF">
        <w:rPr>
          <w:sz w:val="16"/>
          <w:szCs w:val="16"/>
        </w:rPr>
        <w:t xml:space="preserve"> </w:t>
      </w:r>
      <w:r w:rsidRPr="007A3BFF">
        <w:rPr>
          <w:sz w:val="16"/>
          <w:szCs w:val="16"/>
        </w:rPr>
        <w:tab/>
      </w:r>
      <w:r w:rsidRPr="007A3BFF">
        <w:rPr>
          <w:i/>
          <w:sz w:val="16"/>
          <w:szCs w:val="16"/>
          <w:lang w:bidi="en-US"/>
        </w:rPr>
        <w:t>Cfr</w:t>
      </w:r>
      <w:r w:rsidRPr="007A3BFF">
        <w:rPr>
          <w:sz w:val="16"/>
          <w:szCs w:val="16"/>
          <w:lang w:bidi="en-US"/>
        </w:rPr>
        <w:t xml:space="preserve">. </w:t>
      </w:r>
      <w:r w:rsidRPr="007A3BFF">
        <w:rPr>
          <w:sz w:val="16"/>
          <w:szCs w:val="16"/>
          <w:lang w:eastAsia="es-CR" w:bidi="en-US"/>
        </w:rPr>
        <w:t xml:space="preserve">Demanda por daños y perjuicios interpuesta por el señor Jenkins contra el Estado y contra el juez que ordenó su detención, de 27 diciembre de 1999 </w:t>
      </w:r>
      <w:r w:rsidRPr="007A3BFF">
        <w:rPr>
          <w:sz w:val="16"/>
          <w:szCs w:val="16"/>
          <w:lang w:bidi="en-US"/>
        </w:rPr>
        <w:t>(expediente de prueba, folios 4820 a 4836).</w:t>
      </w:r>
    </w:p>
  </w:footnote>
  <w:footnote w:id="116">
    <w:p w14:paraId="4AAAED8C" w14:textId="77777777" w:rsidR="00997C54" w:rsidRPr="007A3BFF" w:rsidRDefault="00997C54" w:rsidP="003E34C2">
      <w:pPr>
        <w:pStyle w:val="Textonotapie"/>
        <w:rPr>
          <w:sz w:val="16"/>
          <w:szCs w:val="16"/>
        </w:rPr>
      </w:pPr>
      <w:r w:rsidRPr="007A3BFF">
        <w:rPr>
          <w:rStyle w:val="Refdenotaalpie"/>
          <w:sz w:val="16"/>
          <w:szCs w:val="16"/>
        </w:rPr>
        <w:footnoteRef/>
      </w:r>
      <w:r w:rsidRPr="007A3BFF">
        <w:rPr>
          <w:sz w:val="16"/>
          <w:szCs w:val="16"/>
        </w:rPr>
        <w:t xml:space="preserve"> </w:t>
      </w:r>
      <w:r w:rsidRPr="007A3BFF">
        <w:rPr>
          <w:sz w:val="16"/>
          <w:szCs w:val="16"/>
        </w:rPr>
        <w:tab/>
      </w:r>
      <w:r w:rsidRPr="007A3BFF">
        <w:rPr>
          <w:i/>
          <w:iCs/>
          <w:sz w:val="16"/>
          <w:szCs w:val="16"/>
        </w:rPr>
        <w:t xml:space="preserve">Cfr. </w:t>
      </w:r>
      <w:r w:rsidRPr="007A3BFF">
        <w:rPr>
          <w:sz w:val="16"/>
          <w:szCs w:val="16"/>
        </w:rPr>
        <w:t>Decisión del Juzgado Contencioso Administrativo Federal No. 10, de 8 de junio de 2000 (expediente de prueba, folios 4658 a 4660).</w:t>
      </w:r>
    </w:p>
  </w:footnote>
  <w:footnote w:id="117">
    <w:p w14:paraId="17A0CD13" w14:textId="70DDAAC3" w:rsidR="00997C54" w:rsidRPr="007A3BFF" w:rsidRDefault="00997C54" w:rsidP="00321C98">
      <w:pPr>
        <w:pStyle w:val="Textonotapie"/>
        <w:rPr>
          <w:sz w:val="16"/>
          <w:szCs w:val="16"/>
          <w:lang w:val="es-DO"/>
        </w:rPr>
      </w:pPr>
      <w:r w:rsidRPr="007A3BFF">
        <w:rPr>
          <w:rStyle w:val="Refdenotaalpie"/>
          <w:sz w:val="16"/>
          <w:szCs w:val="16"/>
        </w:rPr>
        <w:footnoteRef/>
      </w:r>
      <w:r w:rsidRPr="007A3BFF">
        <w:rPr>
          <w:sz w:val="16"/>
          <w:szCs w:val="16"/>
        </w:rPr>
        <w:t xml:space="preserve"> </w:t>
      </w:r>
      <w:r>
        <w:rPr>
          <w:sz w:val="16"/>
          <w:szCs w:val="16"/>
        </w:rPr>
        <w:tab/>
      </w:r>
      <w:r w:rsidRPr="007A3BFF">
        <w:rPr>
          <w:i/>
          <w:sz w:val="16"/>
          <w:szCs w:val="16"/>
        </w:rPr>
        <w:t>Cfr. Mutatis mutandis, Caso Genie Lacayo Vs. Nicaragua. Fondo, Reparaciones y Costas</w:t>
      </w:r>
      <w:r w:rsidRPr="007A3BFF">
        <w:rPr>
          <w:sz w:val="16"/>
          <w:szCs w:val="16"/>
        </w:rPr>
        <w:t xml:space="preserve">, </w:t>
      </w:r>
      <w:r w:rsidRPr="00993B05">
        <w:rPr>
          <w:i/>
          <w:sz w:val="16"/>
          <w:szCs w:val="16"/>
        </w:rPr>
        <w:t>supra</w:t>
      </w:r>
      <w:r w:rsidRPr="007A3BFF">
        <w:rPr>
          <w:sz w:val="16"/>
          <w:szCs w:val="16"/>
        </w:rPr>
        <w:t>, párr. 79.</w:t>
      </w:r>
    </w:p>
  </w:footnote>
  <w:footnote w:id="118">
    <w:p w14:paraId="1A67F6C4" w14:textId="7098E751" w:rsidR="00997C54" w:rsidRPr="007A3BFF" w:rsidRDefault="00997C54" w:rsidP="003E34C2">
      <w:pPr>
        <w:pStyle w:val="Textonotapie"/>
        <w:rPr>
          <w:b/>
          <w:sz w:val="16"/>
          <w:szCs w:val="16"/>
          <w:lang w:val="es-CR"/>
        </w:rPr>
      </w:pPr>
      <w:r w:rsidRPr="007A3BFF">
        <w:rPr>
          <w:rStyle w:val="Refdenotaalpie"/>
          <w:sz w:val="16"/>
          <w:szCs w:val="16"/>
        </w:rPr>
        <w:footnoteRef/>
      </w:r>
      <w:r w:rsidRPr="007A3BFF">
        <w:rPr>
          <w:sz w:val="16"/>
          <w:szCs w:val="16"/>
          <w:lang w:val="es-CR"/>
        </w:rPr>
        <w:t xml:space="preserve"> </w:t>
      </w:r>
      <w:r w:rsidRPr="007A3BFF">
        <w:rPr>
          <w:sz w:val="16"/>
          <w:szCs w:val="16"/>
          <w:lang w:val="es-CR"/>
        </w:rPr>
        <w:tab/>
      </w:r>
      <w:r w:rsidRPr="007A3BFF">
        <w:rPr>
          <w:i/>
          <w:sz w:val="16"/>
          <w:szCs w:val="16"/>
          <w:lang w:val="es-CR"/>
        </w:rPr>
        <w:t>Cfr. Caso Mejía Idrovo Vs. Ecuador</w:t>
      </w:r>
      <w:r w:rsidRPr="007A3BFF">
        <w:rPr>
          <w:sz w:val="16"/>
          <w:szCs w:val="16"/>
          <w:lang w:val="es-CR"/>
        </w:rPr>
        <w:t xml:space="preserve">, </w:t>
      </w:r>
      <w:r w:rsidRPr="007A3BFF">
        <w:rPr>
          <w:i/>
          <w:sz w:val="16"/>
          <w:szCs w:val="16"/>
          <w:lang w:val="es-CR"/>
        </w:rPr>
        <w:t>supra</w:t>
      </w:r>
      <w:r w:rsidRPr="007A3BFF">
        <w:rPr>
          <w:sz w:val="16"/>
          <w:szCs w:val="16"/>
          <w:lang w:val="es-CR"/>
        </w:rPr>
        <w:t xml:space="preserve">, párr. 105, y </w:t>
      </w:r>
      <w:r w:rsidRPr="007A3BFF">
        <w:rPr>
          <w:rStyle w:val="Textoennegrita"/>
          <w:b w:val="0"/>
          <w:i/>
          <w:color w:val="000000"/>
          <w:sz w:val="16"/>
          <w:szCs w:val="16"/>
          <w:shd w:val="clear" w:color="auto" w:fill="FFFFFF"/>
          <w:lang w:val="es-PE"/>
        </w:rPr>
        <w:t xml:space="preserve">Caso Muelle Flores Vs. Perú. Excepciones Preliminares, Fondo, Reparaciones y Costas. </w:t>
      </w:r>
      <w:r w:rsidRPr="007A3BFF">
        <w:rPr>
          <w:rStyle w:val="Textoennegrita"/>
          <w:b w:val="0"/>
          <w:color w:val="000000"/>
          <w:sz w:val="16"/>
          <w:szCs w:val="16"/>
          <w:shd w:val="clear" w:color="auto" w:fill="FFFFFF"/>
          <w:lang w:val="es-PE"/>
        </w:rPr>
        <w:t>Sentencia de 6 de marzo de 2019. Serie C No. 375, párr. 161.</w:t>
      </w:r>
    </w:p>
  </w:footnote>
  <w:footnote w:id="119">
    <w:p w14:paraId="21728E0E" w14:textId="43B2A8FC" w:rsidR="00997C54" w:rsidRPr="007A3BFF" w:rsidRDefault="00997C54" w:rsidP="003E34C2">
      <w:pPr>
        <w:pStyle w:val="Textonotapie"/>
        <w:rPr>
          <w:bCs/>
          <w:sz w:val="16"/>
          <w:szCs w:val="16"/>
          <w:lang w:val="es-CR"/>
        </w:rPr>
      </w:pPr>
      <w:r w:rsidRPr="007A3BFF">
        <w:rPr>
          <w:rStyle w:val="Refdenotaalpie"/>
          <w:rFonts w:cs="Times"/>
          <w:sz w:val="16"/>
          <w:szCs w:val="16"/>
          <w:lang w:val="es-ES"/>
        </w:rPr>
        <w:footnoteRef/>
      </w:r>
      <w:r w:rsidRPr="007A3BFF">
        <w:rPr>
          <w:sz w:val="16"/>
          <w:szCs w:val="16"/>
          <w:lang w:val="es-CR"/>
        </w:rPr>
        <w:t xml:space="preserve"> </w:t>
      </w:r>
      <w:r w:rsidRPr="007A3BFF">
        <w:rPr>
          <w:sz w:val="16"/>
          <w:szCs w:val="16"/>
          <w:lang w:val="es-CR"/>
        </w:rPr>
        <w:tab/>
      </w:r>
      <w:r w:rsidRPr="007A3BFF">
        <w:rPr>
          <w:i/>
          <w:sz w:val="16"/>
          <w:szCs w:val="16"/>
          <w:lang w:val="es-CR"/>
        </w:rPr>
        <w:t>Cfr. Caso Mejía Idrovo Vs. Ecuador, supra,</w:t>
      </w:r>
      <w:r>
        <w:rPr>
          <w:sz w:val="16"/>
          <w:szCs w:val="16"/>
          <w:lang w:val="es-CR"/>
        </w:rPr>
        <w:t xml:space="preserve"> párr. 106;</w:t>
      </w:r>
      <w:r w:rsidRPr="007A3BFF">
        <w:rPr>
          <w:sz w:val="16"/>
          <w:szCs w:val="16"/>
          <w:lang w:val="es-CR"/>
        </w:rPr>
        <w:t xml:space="preserve"> </w:t>
      </w:r>
      <w:r w:rsidRPr="007A3BFF">
        <w:rPr>
          <w:bCs/>
          <w:i/>
          <w:sz w:val="16"/>
          <w:szCs w:val="16"/>
        </w:rPr>
        <w:t>Caso Ramírez Escobar y Otros Vs. Guatemala</w:t>
      </w:r>
      <w:r>
        <w:rPr>
          <w:bCs/>
          <w:i/>
          <w:sz w:val="16"/>
          <w:szCs w:val="16"/>
        </w:rPr>
        <w:t>, supra</w:t>
      </w:r>
      <w:r w:rsidRPr="007A3BFF">
        <w:rPr>
          <w:bCs/>
          <w:sz w:val="16"/>
          <w:szCs w:val="16"/>
          <w:lang w:val="es-CR"/>
        </w:rPr>
        <w:t xml:space="preserve">, párr. 250, y </w:t>
      </w:r>
      <w:r w:rsidRPr="007A3BFF">
        <w:rPr>
          <w:rStyle w:val="Textoennegrita"/>
          <w:b w:val="0"/>
          <w:i/>
          <w:sz w:val="16"/>
          <w:szCs w:val="16"/>
        </w:rPr>
        <w:t>Caso Muelle Flores Vs. Perú</w:t>
      </w:r>
      <w:r>
        <w:rPr>
          <w:rStyle w:val="Textoennegrita"/>
          <w:b w:val="0"/>
          <w:i/>
          <w:sz w:val="16"/>
          <w:szCs w:val="16"/>
        </w:rPr>
        <w:t>, supra</w:t>
      </w:r>
      <w:r w:rsidRPr="007A3BFF">
        <w:rPr>
          <w:bCs/>
          <w:i/>
          <w:sz w:val="16"/>
          <w:szCs w:val="16"/>
          <w:lang w:val="es-CR"/>
        </w:rPr>
        <w:t xml:space="preserve">, </w:t>
      </w:r>
      <w:r w:rsidRPr="007A3BFF">
        <w:rPr>
          <w:bCs/>
          <w:sz w:val="16"/>
          <w:szCs w:val="16"/>
          <w:lang w:val="es-CR"/>
        </w:rPr>
        <w:t>párr. 161.</w:t>
      </w:r>
    </w:p>
  </w:footnote>
  <w:footnote w:id="120">
    <w:p w14:paraId="42C06230" w14:textId="5095A065" w:rsidR="00997C54" w:rsidRPr="007A3BFF" w:rsidRDefault="00997C54" w:rsidP="003E34C2">
      <w:pPr>
        <w:pStyle w:val="Textonotapie"/>
        <w:rPr>
          <w:sz w:val="16"/>
          <w:szCs w:val="16"/>
          <w:lang w:val="es-CR"/>
        </w:rPr>
      </w:pPr>
      <w:r w:rsidRPr="007A3BFF">
        <w:rPr>
          <w:rStyle w:val="Refdenotaalpie"/>
          <w:sz w:val="16"/>
          <w:szCs w:val="16"/>
        </w:rPr>
        <w:footnoteRef/>
      </w:r>
      <w:r w:rsidRPr="007A3BFF">
        <w:rPr>
          <w:sz w:val="16"/>
          <w:szCs w:val="16"/>
        </w:rPr>
        <w:t xml:space="preserve"> </w:t>
      </w:r>
      <w:r w:rsidRPr="007A3BFF">
        <w:rPr>
          <w:sz w:val="16"/>
          <w:szCs w:val="16"/>
        </w:rPr>
        <w:tab/>
      </w:r>
      <w:r w:rsidRPr="007A3BFF">
        <w:rPr>
          <w:i/>
          <w:sz w:val="16"/>
          <w:szCs w:val="16"/>
        </w:rPr>
        <w:t xml:space="preserve">Cfr. Caso Valle Jaramillo y otros Vs. Colombia, supra, </w:t>
      </w:r>
      <w:r w:rsidRPr="007A3BFF">
        <w:rPr>
          <w:sz w:val="16"/>
          <w:szCs w:val="16"/>
        </w:rPr>
        <w:t xml:space="preserve">párr. 155, y </w:t>
      </w:r>
      <w:r w:rsidRPr="007A3BFF">
        <w:rPr>
          <w:i/>
          <w:sz w:val="16"/>
          <w:szCs w:val="16"/>
        </w:rPr>
        <w:t>Caso Muelle Flores Vs. Perú</w:t>
      </w:r>
      <w:r>
        <w:rPr>
          <w:i/>
          <w:sz w:val="16"/>
          <w:szCs w:val="16"/>
        </w:rPr>
        <w:t>, supra</w:t>
      </w:r>
      <w:r w:rsidRPr="007A3BFF">
        <w:rPr>
          <w:sz w:val="16"/>
          <w:szCs w:val="16"/>
        </w:rPr>
        <w:t>, párr. 162.</w:t>
      </w:r>
    </w:p>
  </w:footnote>
  <w:footnote w:id="121">
    <w:p w14:paraId="6983A0A1" w14:textId="77777777" w:rsidR="00997C54" w:rsidRPr="007A3BFF" w:rsidRDefault="00997C54" w:rsidP="003E34C2">
      <w:pPr>
        <w:pStyle w:val="Textonotapie"/>
        <w:rPr>
          <w:sz w:val="16"/>
          <w:szCs w:val="16"/>
        </w:rPr>
      </w:pPr>
      <w:r w:rsidRPr="007A3BFF">
        <w:rPr>
          <w:rStyle w:val="Refdenotaalpie"/>
          <w:rFonts w:eastAsia="Calibri"/>
          <w:sz w:val="16"/>
          <w:szCs w:val="16"/>
        </w:rPr>
        <w:footnoteRef/>
      </w:r>
      <w:r w:rsidRPr="007A3BFF">
        <w:rPr>
          <w:sz w:val="16"/>
          <w:szCs w:val="16"/>
        </w:rPr>
        <w:t xml:space="preserve"> </w:t>
      </w:r>
      <w:r w:rsidRPr="007A3BFF">
        <w:rPr>
          <w:sz w:val="16"/>
          <w:szCs w:val="16"/>
        </w:rPr>
        <w:tab/>
        <w:t>El artículo 63.1 de la Convención dispone que “[c]</w:t>
      </w:r>
      <w:proofErr w:type="spellStart"/>
      <w:r w:rsidRPr="007A3BFF">
        <w:rPr>
          <w:sz w:val="16"/>
          <w:szCs w:val="16"/>
        </w:rPr>
        <w:t>uando</w:t>
      </w:r>
      <w:proofErr w:type="spellEnd"/>
      <w:r w:rsidRPr="007A3BFF">
        <w:rPr>
          <w:sz w:val="16"/>
          <w:szCs w:val="16"/>
        </w:rPr>
        <w:t xml:space="preserve"> decida que hubo violación de un derecho o libertad protegidos en [la] Convención, la Corte dispondrá que se garantice al lesionado en el goce de su derecho o libertad conculcados. </w:t>
      </w:r>
      <w:r w:rsidRPr="007A3BFF">
        <w:rPr>
          <w:sz w:val="16"/>
          <w:szCs w:val="16"/>
        </w:rPr>
        <w:t>Dispondrá asimismo, si ello fuera procedente, que se reparen las consecuencias de la medida o situación que ha configurado la vulneración de esos derechos y el pago de una justa indemnización a la parte lesionada”.</w:t>
      </w:r>
    </w:p>
  </w:footnote>
  <w:footnote w:id="122">
    <w:p w14:paraId="79B62E7B" w14:textId="78D88280" w:rsidR="00997C54" w:rsidRPr="007A3BFF" w:rsidRDefault="00997C54" w:rsidP="003E34C2">
      <w:pPr>
        <w:spacing w:line="240" w:lineRule="auto"/>
        <w:rPr>
          <w:sz w:val="16"/>
          <w:szCs w:val="16"/>
          <w:lang w:eastAsia="es-PE"/>
        </w:rPr>
      </w:pPr>
      <w:r w:rsidRPr="007A3BFF">
        <w:rPr>
          <w:rStyle w:val="Refdenotaalpie"/>
          <w:rFonts w:eastAsia="Calibri"/>
          <w:sz w:val="16"/>
          <w:szCs w:val="16"/>
        </w:rPr>
        <w:footnoteRef/>
      </w:r>
      <w:r w:rsidRPr="007A3BFF">
        <w:rPr>
          <w:sz w:val="16"/>
          <w:szCs w:val="16"/>
        </w:rPr>
        <w:t xml:space="preserve"> </w:t>
      </w:r>
      <w:r w:rsidRPr="007A3BFF">
        <w:rPr>
          <w:sz w:val="16"/>
          <w:szCs w:val="16"/>
        </w:rPr>
        <w:tab/>
      </w:r>
      <w:r w:rsidRPr="007A3BFF">
        <w:rPr>
          <w:i/>
          <w:sz w:val="16"/>
          <w:szCs w:val="16"/>
          <w:lang w:eastAsia="es-PE"/>
        </w:rPr>
        <w:t>Cfr. Caso Velásquez Rodríguez Vs. Honduras. Reparaciones y Costas</w:t>
      </w:r>
      <w:r w:rsidRPr="007A3BFF">
        <w:rPr>
          <w:sz w:val="16"/>
          <w:szCs w:val="16"/>
          <w:lang w:eastAsia="es-PE"/>
        </w:rPr>
        <w:t xml:space="preserve">. Sentencia de 21 de julio de 1989. Serie C No. 7, párr. 25, y </w:t>
      </w:r>
      <w:r w:rsidRPr="00993B05">
        <w:rPr>
          <w:i/>
          <w:sz w:val="16"/>
          <w:szCs w:val="16"/>
          <w:lang w:eastAsia="es-PE"/>
        </w:rPr>
        <w:t>Caso Girón y otro Vs. Guatemala. Excepción Preliminar, Fondo, Reparaciones y Costas</w:t>
      </w:r>
      <w:r w:rsidRPr="00993B05">
        <w:rPr>
          <w:sz w:val="16"/>
          <w:szCs w:val="16"/>
          <w:lang w:eastAsia="es-PE"/>
        </w:rPr>
        <w:t>. Sentencia de 15 de octubre de 2019. Serie C No. 390</w:t>
      </w:r>
      <w:r w:rsidRPr="007A3BFF">
        <w:rPr>
          <w:sz w:val="16"/>
          <w:szCs w:val="16"/>
          <w:lang w:eastAsia="es-PE"/>
        </w:rPr>
        <w:t>,</w:t>
      </w:r>
      <w:r w:rsidRPr="007A3BFF">
        <w:rPr>
          <w:i/>
          <w:sz w:val="16"/>
          <w:szCs w:val="16"/>
          <w:lang w:eastAsia="es-PE"/>
        </w:rPr>
        <w:t xml:space="preserve"> </w:t>
      </w:r>
      <w:r w:rsidRPr="007A3BFF">
        <w:rPr>
          <w:sz w:val="16"/>
          <w:szCs w:val="16"/>
          <w:lang w:eastAsia="es-PE"/>
        </w:rPr>
        <w:t xml:space="preserve">párr. </w:t>
      </w:r>
      <w:r>
        <w:rPr>
          <w:sz w:val="16"/>
          <w:szCs w:val="16"/>
          <w:lang w:eastAsia="es-PE"/>
        </w:rPr>
        <w:t>124</w:t>
      </w:r>
      <w:r w:rsidRPr="007A3BFF">
        <w:rPr>
          <w:sz w:val="16"/>
          <w:szCs w:val="16"/>
          <w:lang w:eastAsia="es-PE"/>
        </w:rPr>
        <w:t>.</w:t>
      </w:r>
    </w:p>
  </w:footnote>
  <w:footnote w:id="123">
    <w:p w14:paraId="5D221766" w14:textId="0E1AFDDE" w:rsidR="00997C54" w:rsidRPr="007A3BFF" w:rsidRDefault="00997C54" w:rsidP="003E34C2">
      <w:pPr>
        <w:spacing w:line="240" w:lineRule="auto"/>
        <w:rPr>
          <w:sz w:val="16"/>
          <w:szCs w:val="16"/>
          <w:lang w:eastAsia="es-PE"/>
        </w:rPr>
      </w:pPr>
      <w:r w:rsidRPr="007A3BFF">
        <w:rPr>
          <w:rStyle w:val="Refdenotaalpie"/>
          <w:rFonts w:eastAsia="MS Mincho"/>
          <w:sz w:val="16"/>
          <w:szCs w:val="16"/>
        </w:rPr>
        <w:footnoteRef/>
      </w:r>
      <w:r w:rsidRPr="007A3BFF">
        <w:rPr>
          <w:sz w:val="16"/>
          <w:szCs w:val="16"/>
        </w:rPr>
        <w:t xml:space="preserve"> </w:t>
      </w:r>
      <w:r w:rsidRPr="007A3BFF">
        <w:rPr>
          <w:sz w:val="16"/>
          <w:szCs w:val="16"/>
        </w:rPr>
        <w:tab/>
      </w:r>
      <w:r w:rsidRPr="007A3BFF">
        <w:rPr>
          <w:i/>
          <w:sz w:val="16"/>
          <w:szCs w:val="16"/>
          <w:lang w:eastAsia="es-PE"/>
        </w:rPr>
        <w:t>Cfr. Caso Velásquez Rodríguez Vs. Honduras</w:t>
      </w:r>
      <w:r w:rsidRPr="007A3BFF">
        <w:rPr>
          <w:sz w:val="16"/>
          <w:szCs w:val="16"/>
          <w:lang w:eastAsia="es-PE"/>
        </w:rPr>
        <w:t xml:space="preserve">. Reparaciones y Costas, </w:t>
      </w:r>
      <w:r w:rsidRPr="007A3BFF">
        <w:rPr>
          <w:i/>
          <w:sz w:val="16"/>
          <w:szCs w:val="16"/>
          <w:lang w:eastAsia="es-PE"/>
        </w:rPr>
        <w:t>supra</w:t>
      </w:r>
      <w:r w:rsidRPr="007A3BFF">
        <w:rPr>
          <w:sz w:val="16"/>
          <w:szCs w:val="16"/>
          <w:lang w:eastAsia="es-PE"/>
        </w:rPr>
        <w:t xml:space="preserve">, </w:t>
      </w:r>
      <w:r w:rsidRPr="007A3BFF">
        <w:rPr>
          <w:sz w:val="16"/>
          <w:szCs w:val="16"/>
          <w:lang w:eastAsia="es-PE"/>
        </w:rPr>
        <w:t xml:space="preserve">párrs. 25 y 26, y </w:t>
      </w:r>
      <w:r w:rsidRPr="00993B05">
        <w:rPr>
          <w:i/>
          <w:sz w:val="16"/>
          <w:szCs w:val="16"/>
          <w:lang w:eastAsia="es-PE"/>
        </w:rPr>
        <w:t>Caso Girón y otro Vs. Guatemala</w:t>
      </w:r>
      <w:r w:rsidRPr="007A3BFF">
        <w:rPr>
          <w:sz w:val="16"/>
          <w:szCs w:val="16"/>
          <w:lang w:eastAsia="es-PE"/>
        </w:rPr>
        <w:t>,</w:t>
      </w:r>
      <w:r>
        <w:rPr>
          <w:sz w:val="16"/>
          <w:szCs w:val="16"/>
          <w:lang w:eastAsia="es-PE"/>
        </w:rPr>
        <w:t xml:space="preserve"> supra,</w:t>
      </w:r>
      <w:r w:rsidRPr="007A3BFF">
        <w:rPr>
          <w:i/>
          <w:sz w:val="16"/>
          <w:szCs w:val="16"/>
          <w:lang w:eastAsia="es-PE"/>
        </w:rPr>
        <w:t xml:space="preserve"> </w:t>
      </w:r>
      <w:r w:rsidRPr="007A3BFF">
        <w:rPr>
          <w:sz w:val="16"/>
          <w:szCs w:val="16"/>
          <w:lang w:eastAsia="es-PE"/>
        </w:rPr>
        <w:t xml:space="preserve">párr. </w:t>
      </w:r>
      <w:r>
        <w:rPr>
          <w:sz w:val="16"/>
          <w:szCs w:val="16"/>
          <w:lang w:eastAsia="es-PE"/>
        </w:rPr>
        <w:t>125</w:t>
      </w:r>
      <w:r w:rsidRPr="007A3BFF">
        <w:rPr>
          <w:sz w:val="16"/>
          <w:szCs w:val="16"/>
          <w:lang w:eastAsia="es-PE"/>
        </w:rPr>
        <w:t>.</w:t>
      </w:r>
    </w:p>
  </w:footnote>
  <w:footnote w:id="124">
    <w:p w14:paraId="7FE8817D" w14:textId="5C949251" w:rsidR="00997C54" w:rsidRPr="007A3BFF" w:rsidRDefault="00997C54" w:rsidP="003E34C2">
      <w:pPr>
        <w:spacing w:line="240" w:lineRule="auto"/>
        <w:rPr>
          <w:rFonts w:cs="Courier New"/>
          <w:bCs/>
          <w:sz w:val="16"/>
          <w:szCs w:val="16"/>
          <w:lang w:eastAsia="en-US"/>
        </w:rPr>
      </w:pPr>
      <w:r w:rsidRPr="007A3BFF">
        <w:rPr>
          <w:rStyle w:val="Refdenotaalpie"/>
          <w:rFonts w:eastAsia="Calibri"/>
          <w:sz w:val="16"/>
          <w:szCs w:val="16"/>
        </w:rPr>
        <w:footnoteRef/>
      </w:r>
      <w:r w:rsidRPr="007A3BFF">
        <w:rPr>
          <w:sz w:val="16"/>
          <w:szCs w:val="16"/>
        </w:rPr>
        <w:t xml:space="preserve"> </w:t>
      </w:r>
      <w:r w:rsidRPr="007A3BFF">
        <w:rPr>
          <w:sz w:val="16"/>
          <w:szCs w:val="16"/>
        </w:rPr>
        <w:tab/>
      </w:r>
      <w:r w:rsidRPr="007A3BFF">
        <w:rPr>
          <w:i/>
          <w:sz w:val="16"/>
          <w:szCs w:val="16"/>
        </w:rPr>
        <w:t>Cfr.</w:t>
      </w:r>
      <w:r w:rsidRPr="007A3BFF">
        <w:rPr>
          <w:bCs/>
          <w:i/>
          <w:sz w:val="16"/>
          <w:szCs w:val="16"/>
        </w:rPr>
        <w:t xml:space="preserve"> Caso de la Masacre de Las Dos Erres Vs. Guatemala. Excepción Preliminar, Fondo, Reparaciones y Costas. </w:t>
      </w:r>
      <w:r w:rsidRPr="007A3BFF">
        <w:rPr>
          <w:bCs/>
          <w:sz w:val="16"/>
          <w:szCs w:val="16"/>
        </w:rPr>
        <w:t>Sentencia de 24 de noviembre de 2009. Serie C No. 211</w:t>
      </w:r>
      <w:r w:rsidRPr="007A3BFF">
        <w:rPr>
          <w:sz w:val="16"/>
          <w:szCs w:val="16"/>
        </w:rPr>
        <w:t xml:space="preserve">, párr. 226, y </w:t>
      </w:r>
      <w:r w:rsidRPr="007A3BFF">
        <w:rPr>
          <w:i/>
          <w:sz w:val="16"/>
          <w:szCs w:val="16"/>
          <w:lang w:eastAsia="es-PE"/>
        </w:rPr>
        <w:t xml:space="preserve">Caso Gorigoitía Vs. Argentina. Excepción Preliminar, Fondo, Reparaciones y Costas. </w:t>
      </w:r>
      <w:r w:rsidRPr="007A3BFF">
        <w:rPr>
          <w:sz w:val="16"/>
          <w:szCs w:val="16"/>
          <w:lang w:eastAsia="es-PE"/>
        </w:rPr>
        <w:t>Sentencia de 2 de septiembre de 2019. Serie C No. 382,</w:t>
      </w:r>
      <w:r w:rsidRPr="007A3BFF">
        <w:rPr>
          <w:i/>
          <w:sz w:val="16"/>
          <w:szCs w:val="16"/>
          <w:lang w:eastAsia="es-PE"/>
        </w:rPr>
        <w:t xml:space="preserve"> </w:t>
      </w:r>
      <w:r w:rsidRPr="007A3BFF">
        <w:rPr>
          <w:sz w:val="16"/>
          <w:szCs w:val="16"/>
          <w:lang w:eastAsia="es-PE"/>
        </w:rPr>
        <w:t>párr. 60.</w:t>
      </w:r>
    </w:p>
  </w:footnote>
  <w:footnote w:id="125">
    <w:p w14:paraId="15BC85A9" w14:textId="14FA599E" w:rsidR="00997C54" w:rsidRPr="007A3BFF" w:rsidRDefault="00997C54" w:rsidP="003E34C2">
      <w:pPr>
        <w:spacing w:line="240" w:lineRule="auto"/>
        <w:rPr>
          <w:rFonts w:cstheme="minorBidi"/>
          <w:bCs/>
          <w:sz w:val="16"/>
          <w:szCs w:val="16"/>
        </w:rPr>
      </w:pPr>
      <w:r w:rsidRPr="007A3BFF">
        <w:rPr>
          <w:rStyle w:val="Refdenotaalpie"/>
          <w:rFonts w:eastAsia="Calibri"/>
          <w:sz w:val="16"/>
          <w:szCs w:val="16"/>
        </w:rPr>
        <w:footnoteRef/>
      </w:r>
      <w:r w:rsidRPr="007A3BFF">
        <w:rPr>
          <w:sz w:val="16"/>
          <w:szCs w:val="16"/>
        </w:rPr>
        <w:t xml:space="preserve"> </w:t>
      </w:r>
      <w:r w:rsidRPr="007A3BFF">
        <w:rPr>
          <w:sz w:val="16"/>
          <w:szCs w:val="16"/>
        </w:rPr>
        <w:tab/>
      </w:r>
      <w:r w:rsidRPr="007A3BFF">
        <w:rPr>
          <w:i/>
          <w:sz w:val="16"/>
          <w:szCs w:val="16"/>
        </w:rPr>
        <w:t>Cfr. Caso Ticona Estrada Vs. Bolivia. Fondo, Reparaciones y Costas</w:t>
      </w:r>
      <w:r w:rsidRPr="007A3BFF">
        <w:rPr>
          <w:sz w:val="16"/>
          <w:szCs w:val="16"/>
        </w:rPr>
        <w:t>. Sentencia de 27 de noviembre de 2008. Serie C No. 191, párr. 110</w:t>
      </w:r>
      <w:r w:rsidRPr="007A3BFF">
        <w:rPr>
          <w:sz w:val="16"/>
          <w:szCs w:val="16"/>
          <w:lang w:eastAsia="es-PE"/>
        </w:rPr>
        <w:t xml:space="preserve">, y </w:t>
      </w:r>
      <w:r w:rsidRPr="00993B05">
        <w:rPr>
          <w:i/>
          <w:sz w:val="16"/>
          <w:szCs w:val="16"/>
          <w:lang w:eastAsia="es-PE"/>
        </w:rPr>
        <w:t>Caso Girón y otro Vs. Guatemala</w:t>
      </w:r>
      <w:r w:rsidRPr="007A3BFF">
        <w:rPr>
          <w:sz w:val="16"/>
          <w:szCs w:val="16"/>
          <w:lang w:eastAsia="es-PE"/>
        </w:rPr>
        <w:t>,</w:t>
      </w:r>
      <w:r>
        <w:rPr>
          <w:sz w:val="16"/>
          <w:szCs w:val="16"/>
          <w:lang w:eastAsia="es-PE"/>
        </w:rPr>
        <w:t xml:space="preserve"> </w:t>
      </w:r>
      <w:r w:rsidRPr="00651F1A">
        <w:rPr>
          <w:i/>
          <w:sz w:val="16"/>
          <w:szCs w:val="16"/>
          <w:lang w:eastAsia="es-PE"/>
        </w:rPr>
        <w:t>supra</w:t>
      </w:r>
      <w:r>
        <w:rPr>
          <w:sz w:val="16"/>
          <w:szCs w:val="16"/>
          <w:lang w:eastAsia="es-PE"/>
        </w:rPr>
        <w:t>,</w:t>
      </w:r>
      <w:r w:rsidRPr="007A3BFF">
        <w:rPr>
          <w:i/>
          <w:sz w:val="16"/>
          <w:szCs w:val="16"/>
          <w:lang w:eastAsia="es-PE"/>
        </w:rPr>
        <w:t xml:space="preserve"> </w:t>
      </w:r>
      <w:r w:rsidRPr="007A3BFF">
        <w:rPr>
          <w:sz w:val="16"/>
          <w:szCs w:val="16"/>
          <w:lang w:eastAsia="es-PE"/>
        </w:rPr>
        <w:t xml:space="preserve">párr. </w:t>
      </w:r>
      <w:r>
        <w:rPr>
          <w:sz w:val="16"/>
          <w:szCs w:val="16"/>
          <w:lang w:eastAsia="es-PE"/>
        </w:rPr>
        <w:t>126</w:t>
      </w:r>
      <w:r w:rsidRPr="007A3BFF">
        <w:rPr>
          <w:sz w:val="16"/>
          <w:szCs w:val="16"/>
          <w:lang w:eastAsia="es-PE"/>
        </w:rPr>
        <w:t>.</w:t>
      </w:r>
    </w:p>
  </w:footnote>
  <w:footnote w:id="126">
    <w:p w14:paraId="7C605193" w14:textId="25535580" w:rsidR="00997C54" w:rsidRPr="007A3BFF" w:rsidRDefault="00997C54" w:rsidP="003E34C2">
      <w:pPr>
        <w:pStyle w:val="Textonotapie"/>
        <w:rPr>
          <w:sz w:val="16"/>
          <w:szCs w:val="16"/>
          <w:lang w:eastAsia="es-PE"/>
        </w:rPr>
      </w:pPr>
      <w:r w:rsidRPr="007A3BFF">
        <w:rPr>
          <w:rStyle w:val="Refdenotaalpie"/>
          <w:rFonts w:eastAsia="Calibri"/>
          <w:sz w:val="16"/>
          <w:szCs w:val="16"/>
        </w:rPr>
        <w:footnoteRef/>
      </w:r>
      <w:r w:rsidRPr="007A3BFF">
        <w:rPr>
          <w:rFonts w:cs="Verdana"/>
          <w:bCs/>
          <w:sz w:val="16"/>
          <w:szCs w:val="16"/>
        </w:rPr>
        <w:tab/>
      </w:r>
      <w:r w:rsidRPr="007A3BFF">
        <w:rPr>
          <w:i/>
          <w:sz w:val="16"/>
          <w:szCs w:val="16"/>
        </w:rPr>
        <w:t>Cfr.</w:t>
      </w:r>
      <w:r w:rsidRPr="007A3BFF">
        <w:rPr>
          <w:bCs/>
          <w:i/>
          <w:sz w:val="16"/>
          <w:szCs w:val="16"/>
        </w:rPr>
        <w:t xml:space="preserve"> Caso Velásquez Rodríguez Vs. Honduras. </w:t>
      </w:r>
      <w:r w:rsidRPr="007A3BFF">
        <w:rPr>
          <w:i/>
          <w:sz w:val="16"/>
          <w:szCs w:val="16"/>
        </w:rPr>
        <w:t>Reparaciones y Costas, supra</w:t>
      </w:r>
      <w:r w:rsidRPr="007A3BFF">
        <w:rPr>
          <w:sz w:val="16"/>
          <w:szCs w:val="16"/>
        </w:rPr>
        <w:t xml:space="preserve">, </w:t>
      </w:r>
      <w:proofErr w:type="spellStart"/>
      <w:r w:rsidRPr="007A3BFF">
        <w:rPr>
          <w:sz w:val="16"/>
          <w:szCs w:val="16"/>
        </w:rPr>
        <w:t>párrs</w:t>
      </w:r>
      <w:proofErr w:type="spellEnd"/>
      <w:r w:rsidRPr="007A3BFF">
        <w:rPr>
          <w:sz w:val="16"/>
          <w:szCs w:val="16"/>
        </w:rPr>
        <w:t>. 25 a 27</w:t>
      </w:r>
      <w:r w:rsidRPr="007A3BFF">
        <w:rPr>
          <w:sz w:val="16"/>
          <w:szCs w:val="16"/>
          <w:lang w:eastAsia="es-PE"/>
        </w:rPr>
        <w:t xml:space="preserve">, y </w:t>
      </w:r>
      <w:r w:rsidRPr="00993B05">
        <w:rPr>
          <w:i/>
          <w:sz w:val="16"/>
          <w:szCs w:val="16"/>
          <w:lang w:eastAsia="es-PE"/>
        </w:rPr>
        <w:t>Caso Girón y otro Vs. Guatemala</w:t>
      </w:r>
      <w:r w:rsidRPr="007A3BFF">
        <w:rPr>
          <w:sz w:val="16"/>
          <w:szCs w:val="16"/>
          <w:lang w:eastAsia="es-PE"/>
        </w:rPr>
        <w:t>,</w:t>
      </w:r>
      <w:r>
        <w:rPr>
          <w:sz w:val="16"/>
          <w:szCs w:val="16"/>
          <w:lang w:eastAsia="es-PE"/>
        </w:rPr>
        <w:t xml:space="preserve"> </w:t>
      </w:r>
      <w:r w:rsidRPr="00651F1A">
        <w:rPr>
          <w:i/>
          <w:sz w:val="16"/>
          <w:szCs w:val="16"/>
          <w:lang w:eastAsia="es-PE"/>
        </w:rPr>
        <w:t>supra</w:t>
      </w:r>
      <w:r>
        <w:rPr>
          <w:sz w:val="16"/>
          <w:szCs w:val="16"/>
          <w:lang w:eastAsia="es-PE"/>
        </w:rPr>
        <w:t>,</w:t>
      </w:r>
      <w:r w:rsidRPr="007A3BFF">
        <w:rPr>
          <w:i/>
          <w:sz w:val="16"/>
          <w:szCs w:val="16"/>
          <w:lang w:eastAsia="es-PE"/>
        </w:rPr>
        <w:t xml:space="preserve"> </w:t>
      </w:r>
      <w:r w:rsidRPr="007A3BFF">
        <w:rPr>
          <w:sz w:val="16"/>
          <w:szCs w:val="16"/>
          <w:lang w:eastAsia="es-PE"/>
        </w:rPr>
        <w:t xml:space="preserve">párr. </w:t>
      </w:r>
      <w:r>
        <w:rPr>
          <w:sz w:val="16"/>
          <w:szCs w:val="16"/>
          <w:lang w:eastAsia="es-PE"/>
        </w:rPr>
        <w:t>127</w:t>
      </w:r>
      <w:r w:rsidRPr="007A3BFF">
        <w:rPr>
          <w:sz w:val="16"/>
          <w:szCs w:val="16"/>
          <w:lang w:eastAsia="es-PE"/>
        </w:rPr>
        <w:t>.</w:t>
      </w:r>
    </w:p>
  </w:footnote>
  <w:footnote w:id="127">
    <w:p w14:paraId="1626628D" w14:textId="36F8FBED" w:rsidR="00997C54" w:rsidRPr="007A3BFF" w:rsidRDefault="00997C54" w:rsidP="003E34C2">
      <w:pPr>
        <w:pStyle w:val="Textonotapie"/>
        <w:rPr>
          <w:rFonts w:cstheme="minorBidi"/>
          <w:sz w:val="16"/>
          <w:szCs w:val="16"/>
        </w:rPr>
      </w:pPr>
      <w:r w:rsidRPr="007A3BFF">
        <w:rPr>
          <w:rStyle w:val="Refdenotaalpie"/>
          <w:sz w:val="16"/>
          <w:szCs w:val="16"/>
        </w:rPr>
        <w:footnoteRef/>
      </w:r>
      <w:r w:rsidRPr="007A3BFF">
        <w:rPr>
          <w:sz w:val="16"/>
          <w:szCs w:val="16"/>
        </w:rPr>
        <w:t xml:space="preserve"> </w:t>
      </w:r>
      <w:r w:rsidRPr="007A3BFF">
        <w:rPr>
          <w:sz w:val="16"/>
          <w:szCs w:val="16"/>
        </w:rPr>
        <w:tab/>
      </w:r>
      <w:r w:rsidRPr="007A3BFF">
        <w:rPr>
          <w:rFonts w:cs="Arial"/>
          <w:i/>
          <w:sz w:val="16"/>
          <w:szCs w:val="16"/>
        </w:rPr>
        <w:t xml:space="preserve">Cfr., inter </w:t>
      </w:r>
      <w:proofErr w:type="spellStart"/>
      <w:r w:rsidRPr="007A3BFF">
        <w:rPr>
          <w:rFonts w:cs="Arial"/>
          <w:i/>
          <w:sz w:val="16"/>
          <w:szCs w:val="16"/>
        </w:rPr>
        <w:t>alia</w:t>
      </w:r>
      <w:proofErr w:type="spellEnd"/>
      <w:r w:rsidRPr="007A3BFF">
        <w:rPr>
          <w:rFonts w:cs="Arial"/>
          <w:i/>
          <w:sz w:val="16"/>
          <w:szCs w:val="16"/>
        </w:rPr>
        <w:t>, Caso Cantoral Benavides Vs. Perú. Reparaciones y Costas.</w:t>
      </w:r>
      <w:r w:rsidRPr="007A3BFF">
        <w:rPr>
          <w:rFonts w:cs="Arial"/>
          <w:sz w:val="16"/>
          <w:szCs w:val="16"/>
        </w:rPr>
        <w:t xml:space="preserve"> Sentencia de 3 de diciembre de 2001. Serie C No. 88, párr. 79; </w:t>
      </w:r>
      <w:r w:rsidRPr="007A3BFF">
        <w:rPr>
          <w:rFonts w:cs="Arial"/>
          <w:i/>
          <w:sz w:val="16"/>
          <w:szCs w:val="16"/>
        </w:rPr>
        <w:t xml:space="preserve">Caso </w:t>
      </w:r>
      <w:proofErr w:type="spellStart"/>
      <w:r w:rsidRPr="007A3BFF">
        <w:rPr>
          <w:rFonts w:cs="Arial"/>
          <w:i/>
          <w:sz w:val="16"/>
          <w:szCs w:val="16"/>
        </w:rPr>
        <w:t>Mémoli</w:t>
      </w:r>
      <w:proofErr w:type="spellEnd"/>
      <w:r w:rsidRPr="007A3BFF">
        <w:rPr>
          <w:rFonts w:cs="Arial"/>
          <w:i/>
          <w:sz w:val="16"/>
          <w:szCs w:val="16"/>
        </w:rPr>
        <w:t xml:space="preserve"> Vs. Argentina. Excepciones Preliminares, Fondo, Reparaciones y Costas</w:t>
      </w:r>
      <w:r w:rsidRPr="007A3BFF">
        <w:rPr>
          <w:rFonts w:cs="Arial"/>
          <w:sz w:val="16"/>
          <w:szCs w:val="16"/>
        </w:rPr>
        <w:t xml:space="preserve">. Sentencia de 22 de agosto de 2013. Serie C No. 265, párr. 207; </w:t>
      </w:r>
      <w:r w:rsidRPr="007A3BFF">
        <w:rPr>
          <w:rFonts w:cs="Arial"/>
          <w:i/>
          <w:sz w:val="16"/>
          <w:szCs w:val="16"/>
        </w:rPr>
        <w:t>Caso Andrade Salmón Vs. Bolivia. Fondo, Reparaciones y Costas</w:t>
      </w:r>
      <w:r w:rsidRPr="007A3BFF">
        <w:rPr>
          <w:rFonts w:cs="Arial"/>
          <w:sz w:val="16"/>
          <w:szCs w:val="16"/>
        </w:rPr>
        <w:t xml:space="preserve">. Sentencia de 1 de diciembre de 2016. Serie C No. 330, párr. 197; </w:t>
      </w:r>
      <w:r w:rsidRPr="007A3BFF">
        <w:rPr>
          <w:rFonts w:cs="Arial"/>
          <w:i/>
          <w:sz w:val="16"/>
          <w:szCs w:val="16"/>
        </w:rPr>
        <w:t xml:space="preserve">Caso Favela Nova </w:t>
      </w:r>
      <w:proofErr w:type="spellStart"/>
      <w:r w:rsidRPr="007A3BFF">
        <w:rPr>
          <w:rFonts w:cs="Arial"/>
          <w:i/>
          <w:sz w:val="16"/>
          <w:szCs w:val="16"/>
        </w:rPr>
        <w:t>Brasília</w:t>
      </w:r>
      <w:proofErr w:type="spellEnd"/>
      <w:r w:rsidRPr="007A3BFF">
        <w:rPr>
          <w:rFonts w:cs="Arial"/>
          <w:i/>
          <w:sz w:val="16"/>
          <w:szCs w:val="16"/>
        </w:rPr>
        <w:t xml:space="preserve"> Vs. Brasil. Excepciones Preliminares, Fondo, Reparaciones y Costas</w:t>
      </w:r>
      <w:r w:rsidRPr="007A3BFF">
        <w:rPr>
          <w:rFonts w:cs="Arial"/>
          <w:sz w:val="16"/>
          <w:szCs w:val="16"/>
        </w:rPr>
        <w:t xml:space="preserve">. Sentencia de 16 de febrero de 2017. Serie C No. 333, párr. 300; </w:t>
      </w:r>
      <w:r w:rsidRPr="007A3BFF">
        <w:rPr>
          <w:rFonts w:cs="Arial"/>
          <w:i/>
          <w:sz w:val="16"/>
          <w:szCs w:val="16"/>
        </w:rPr>
        <w:t>Caso López Soto y otros Vs. Venezuela. Fondo, Reparaciones y Costas.</w:t>
      </w:r>
      <w:r w:rsidRPr="007A3BFF">
        <w:rPr>
          <w:rFonts w:cs="Arial"/>
          <w:sz w:val="16"/>
          <w:szCs w:val="16"/>
        </w:rPr>
        <w:t xml:space="preserve"> Sentencia de 26 de septiembre de 2018. Serie C No. 362, párr. 299 y </w:t>
      </w:r>
      <w:r w:rsidRPr="007A3BFF">
        <w:rPr>
          <w:rFonts w:cs="Arial"/>
          <w:i/>
          <w:sz w:val="16"/>
          <w:szCs w:val="16"/>
        </w:rPr>
        <w:t xml:space="preserve">Caso </w:t>
      </w:r>
      <w:proofErr w:type="spellStart"/>
      <w:r w:rsidRPr="007A3BFF">
        <w:rPr>
          <w:rFonts w:cs="Arial"/>
          <w:i/>
          <w:sz w:val="16"/>
          <w:szCs w:val="16"/>
        </w:rPr>
        <w:t>Gorigoitía</w:t>
      </w:r>
      <w:proofErr w:type="spellEnd"/>
      <w:r w:rsidRPr="007A3BFF">
        <w:rPr>
          <w:rFonts w:cs="Arial"/>
          <w:i/>
          <w:sz w:val="16"/>
          <w:szCs w:val="16"/>
        </w:rPr>
        <w:t xml:space="preserve"> Vs. Argentina. Excepción Preliminar, Fondo, Reparaciones y Costas.</w:t>
      </w:r>
      <w:r w:rsidRPr="007A3BFF">
        <w:rPr>
          <w:rFonts w:cs="Arial"/>
          <w:sz w:val="16"/>
          <w:szCs w:val="16"/>
        </w:rPr>
        <w:t xml:space="preserve"> Sentencia de 2 de septiembre de 2019. Serie C No. 382, párr. 68.</w:t>
      </w:r>
    </w:p>
  </w:footnote>
  <w:footnote w:id="128">
    <w:p w14:paraId="547D99AA" w14:textId="2150AEE8" w:rsidR="00997C54" w:rsidRPr="007A3BFF" w:rsidRDefault="00997C54" w:rsidP="003E34C2">
      <w:pPr>
        <w:spacing w:line="240" w:lineRule="auto"/>
        <w:rPr>
          <w:sz w:val="16"/>
          <w:szCs w:val="16"/>
          <w:lang w:eastAsia="es-ES"/>
        </w:rPr>
      </w:pPr>
      <w:r w:rsidRPr="007A3BFF">
        <w:rPr>
          <w:rStyle w:val="Refdenotaalpie"/>
          <w:rFonts w:eastAsia="MS ????"/>
          <w:sz w:val="16"/>
          <w:szCs w:val="16"/>
        </w:rPr>
        <w:footnoteRef/>
      </w:r>
      <w:r w:rsidRPr="007A3BFF">
        <w:rPr>
          <w:sz w:val="16"/>
          <w:szCs w:val="16"/>
        </w:rPr>
        <w:tab/>
      </w:r>
      <w:r w:rsidRPr="007A3BFF">
        <w:rPr>
          <w:i/>
          <w:sz w:val="16"/>
          <w:szCs w:val="16"/>
        </w:rPr>
        <w:t>Cfr</w:t>
      </w:r>
      <w:r w:rsidRPr="007A3BFF">
        <w:rPr>
          <w:sz w:val="16"/>
          <w:szCs w:val="16"/>
        </w:rPr>
        <w:t xml:space="preserve">. </w:t>
      </w:r>
      <w:r w:rsidRPr="007A3BFF">
        <w:rPr>
          <w:i/>
          <w:sz w:val="16"/>
          <w:szCs w:val="16"/>
        </w:rPr>
        <w:t>Caso Bámaca Velásquez Vs. Guatemala. Reparaciones y Costas</w:t>
      </w:r>
      <w:r w:rsidRPr="007A3BFF">
        <w:rPr>
          <w:sz w:val="16"/>
          <w:szCs w:val="16"/>
        </w:rPr>
        <w:t xml:space="preserve">. Sentencia de 22 de febrero de 2002. Serie C No. 91, párr. 43, y </w:t>
      </w:r>
      <w:r w:rsidRPr="00651F1A">
        <w:rPr>
          <w:i/>
          <w:sz w:val="16"/>
          <w:szCs w:val="16"/>
        </w:rPr>
        <w:t xml:space="preserve">Caso Ruiz Fuentes y otra Vs. Guatemala. </w:t>
      </w:r>
      <w:r w:rsidRPr="00651F1A">
        <w:rPr>
          <w:sz w:val="16"/>
          <w:szCs w:val="16"/>
        </w:rPr>
        <w:t>Excepción Preliminar, Fondo, Reparaciones y Costas. Sentencia de 10 de octubre de 2019. Serie C No. 385, párr. 243.</w:t>
      </w:r>
    </w:p>
  </w:footnote>
  <w:footnote w:id="129">
    <w:p w14:paraId="34C6744C" w14:textId="03A47FB1" w:rsidR="00997C54" w:rsidRPr="007A3BFF" w:rsidRDefault="00997C54" w:rsidP="003E34C2">
      <w:pPr>
        <w:pStyle w:val="Textonotapie"/>
        <w:rPr>
          <w:sz w:val="16"/>
          <w:szCs w:val="16"/>
        </w:rPr>
      </w:pPr>
      <w:r w:rsidRPr="007A3BFF">
        <w:rPr>
          <w:rStyle w:val="Refdenotaalpie"/>
          <w:rFonts w:eastAsia="Calibri"/>
          <w:sz w:val="16"/>
          <w:szCs w:val="16"/>
        </w:rPr>
        <w:footnoteRef/>
      </w:r>
      <w:r w:rsidRPr="007A3BFF">
        <w:rPr>
          <w:sz w:val="16"/>
          <w:szCs w:val="16"/>
        </w:rPr>
        <w:t xml:space="preserve"> </w:t>
      </w:r>
      <w:r w:rsidRPr="007A3BFF">
        <w:rPr>
          <w:sz w:val="16"/>
          <w:szCs w:val="16"/>
        </w:rPr>
        <w:tab/>
      </w:r>
      <w:r w:rsidRPr="007A3BFF">
        <w:rPr>
          <w:i/>
          <w:sz w:val="16"/>
          <w:szCs w:val="16"/>
        </w:rPr>
        <w:t>Cfr. Caso de los “Niños de la Calle” (Villagrán Morales y otros) Vs. Guatemala. Reparaciones y Costas</w:t>
      </w:r>
      <w:r w:rsidRPr="007A3BFF">
        <w:rPr>
          <w:sz w:val="16"/>
          <w:szCs w:val="16"/>
        </w:rPr>
        <w:t xml:space="preserve">, </w:t>
      </w:r>
      <w:r w:rsidRPr="007A3BFF">
        <w:rPr>
          <w:i/>
          <w:sz w:val="16"/>
          <w:szCs w:val="16"/>
        </w:rPr>
        <w:t>supra</w:t>
      </w:r>
      <w:r w:rsidRPr="007A3BFF">
        <w:rPr>
          <w:sz w:val="16"/>
          <w:szCs w:val="16"/>
        </w:rPr>
        <w:t xml:space="preserve">, párr. 84, </w:t>
      </w:r>
      <w:r w:rsidRPr="007A3BFF">
        <w:rPr>
          <w:sz w:val="16"/>
          <w:szCs w:val="16"/>
          <w:lang w:eastAsia="es-PE"/>
        </w:rPr>
        <w:t xml:space="preserve">y </w:t>
      </w:r>
      <w:r w:rsidRPr="00993B05">
        <w:rPr>
          <w:i/>
          <w:sz w:val="16"/>
          <w:szCs w:val="16"/>
          <w:lang w:eastAsia="es-PE"/>
        </w:rPr>
        <w:t>Caso Girón y otro Vs. Guatemala</w:t>
      </w:r>
      <w:r w:rsidRPr="007A3BFF">
        <w:rPr>
          <w:sz w:val="16"/>
          <w:szCs w:val="16"/>
          <w:lang w:eastAsia="es-PE"/>
        </w:rPr>
        <w:t>,</w:t>
      </w:r>
      <w:r>
        <w:rPr>
          <w:sz w:val="16"/>
          <w:szCs w:val="16"/>
          <w:lang w:eastAsia="es-PE"/>
        </w:rPr>
        <w:t xml:space="preserve"> </w:t>
      </w:r>
      <w:r w:rsidRPr="00651F1A">
        <w:rPr>
          <w:i/>
          <w:sz w:val="16"/>
          <w:szCs w:val="16"/>
          <w:lang w:eastAsia="es-PE"/>
        </w:rPr>
        <w:t>supra</w:t>
      </w:r>
      <w:r>
        <w:rPr>
          <w:sz w:val="16"/>
          <w:szCs w:val="16"/>
          <w:lang w:eastAsia="es-PE"/>
        </w:rPr>
        <w:t>,</w:t>
      </w:r>
      <w:r w:rsidRPr="007A3BFF">
        <w:rPr>
          <w:i/>
          <w:sz w:val="16"/>
          <w:szCs w:val="16"/>
          <w:lang w:eastAsia="es-PE"/>
        </w:rPr>
        <w:t xml:space="preserve"> </w:t>
      </w:r>
      <w:r w:rsidRPr="007A3BFF">
        <w:rPr>
          <w:sz w:val="16"/>
          <w:szCs w:val="16"/>
          <w:lang w:eastAsia="es-PE"/>
        </w:rPr>
        <w:t xml:space="preserve">párr. </w:t>
      </w:r>
      <w:r>
        <w:rPr>
          <w:sz w:val="16"/>
          <w:szCs w:val="16"/>
          <w:lang w:eastAsia="es-PE"/>
        </w:rPr>
        <w:t>243</w:t>
      </w:r>
      <w:r w:rsidRPr="007A3BFF">
        <w:rPr>
          <w:sz w:val="16"/>
          <w:szCs w:val="16"/>
          <w:lang w:eastAsia="es-PE"/>
        </w:rPr>
        <w:t>.</w:t>
      </w:r>
    </w:p>
  </w:footnote>
  <w:footnote w:id="130">
    <w:p w14:paraId="3C686771" w14:textId="52672535" w:rsidR="00997C54" w:rsidRPr="007A3BFF" w:rsidRDefault="00997C54" w:rsidP="003E34C2">
      <w:pPr>
        <w:pStyle w:val="Textonotapie"/>
        <w:rPr>
          <w:sz w:val="16"/>
          <w:szCs w:val="16"/>
        </w:rPr>
      </w:pPr>
      <w:r w:rsidRPr="007A3BFF">
        <w:rPr>
          <w:rStyle w:val="Refdenotaalpie"/>
          <w:rFonts w:eastAsia="Calibri"/>
          <w:sz w:val="16"/>
          <w:szCs w:val="16"/>
        </w:rPr>
        <w:footnoteRef/>
      </w:r>
      <w:r w:rsidRPr="007A3BFF">
        <w:rPr>
          <w:sz w:val="16"/>
          <w:szCs w:val="16"/>
        </w:rPr>
        <w:t xml:space="preserve"> </w:t>
      </w:r>
      <w:r w:rsidRPr="007A3BFF">
        <w:rPr>
          <w:sz w:val="16"/>
          <w:szCs w:val="16"/>
        </w:rPr>
        <w:tab/>
      </w:r>
      <w:r w:rsidRPr="007A3BFF">
        <w:rPr>
          <w:i/>
          <w:sz w:val="16"/>
          <w:szCs w:val="16"/>
        </w:rPr>
        <w:t xml:space="preserve">Cfr. </w:t>
      </w:r>
      <w:r w:rsidRPr="007A3BFF">
        <w:rPr>
          <w:rFonts w:eastAsia="Calibri"/>
          <w:i/>
          <w:sz w:val="16"/>
          <w:szCs w:val="16"/>
          <w:shd w:val="clear" w:color="auto" w:fill="FFFFFF"/>
        </w:rPr>
        <w:t>Caso Garrido y Baigorria Vs. Argentina. Reparaciones y Costas.</w:t>
      </w:r>
      <w:r w:rsidRPr="007A3BFF">
        <w:rPr>
          <w:rFonts w:eastAsia="Calibri"/>
          <w:sz w:val="16"/>
          <w:szCs w:val="16"/>
          <w:shd w:val="clear" w:color="auto" w:fill="FFFFFF"/>
        </w:rPr>
        <w:t xml:space="preserve"> Sentencia de 27 de agosto de 19</w:t>
      </w:r>
      <w:r>
        <w:rPr>
          <w:rFonts w:eastAsia="Calibri"/>
          <w:sz w:val="16"/>
          <w:szCs w:val="16"/>
          <w:shd w:val="clear" w:color="auto" w:fill="FFFFFF"/>
        </w:rPr>
        <w:t xml:space="preserve">98. Serie C No. 39, párr. 79, y </w:t>
      </w:r>
      <w:r w:rsidRPr="00651F1A">
        <w:rPr>
          <w:i/>
          <w:sz w:val="16"/>
          <w:szCs w:val="16"/>
        </w:rPr>
        <w:t>Caso Ruiz Fuentes y otra Vs. Guatemala</w:t>
      </w:r>
      <w:r>
        <w:rPr>
          <w:i/>
          <w:sz w:val="16"/>
          <w:szCs w:val="16"/>
        </w:rPr>
        <w:t>, supra</w:t>
      </w:r>
      <w:r w:rsidRPr="00651F1A">
        <w:rPr>
          <w:sz w:val="16"/>
          <w:szCs w:val="16"/>
        </w:rPr>
        <w:t xml:space="preserve">, párr. </w:t>
      </w:r>
      <w:r>
        <w:rPr>
          <w:sz w:val="16"/>
          <w:szCs w:val="16"/>
        </w:rPr>
        <w:t>251</w:t>
      </w:r>
      <w:r w:rsidRPr="00651F1A">
        <w:rPr>
          <w:sz w:val="16"/>
          <w:szCs w:val="16"/>
        </w:rPr>
        <w:t>.</w:t>
      </w:r>
    </w:p>
  </w:footnote>
  <w:footnote w:id="131">
    <w:p w14:paraId="0C55401B" w14:textId="0E2DC7B9" w:rsidR="00997C54" w:rsidRPr="007A3BFF" w:rsidRDefault="00997C54" w:rsidP="003E34C2">
      <w:pPr>
        <w:pStyle w:val="Textonotapie"/>
        <w:rPr>
          <w:sz w:val="16"/>
          <w:szCs w:val="16"/>
        </w:rPr>
      </w:pPr>
      <w:r w:rsidRPr="007A3BFF">
        <w:rPr>
          <w:rStyle w:val="Refdenotaalpie"/>
          <w:rFonts w:eastAsia="Calibri"/>
          <w:sz w:val="16"/>
          <w:szCs w:val="16"/>
        </w:rPr>
        <w:footnoteRef/>
      </w:r>
      <w:r w:rsidRPr="007A3BFF">
        <w:rPr>
          <w:sz w:val="16"/>
          <w:szCs w:val="16"/>
        </w:rPr>
        <w:tab/>
      </w:r>
      <w:r w:rsidRPr="007A3BFF">
        <w:rPr>
          <w:i/>
          <w:sz w:val="16"/>
          <w:szCs w:val="16"/>
        </w:rPr>
        <w:t xml:space="preserve">Cfr. </w:t>
      </w:r>
      <w:r w:rsidRPr="007A3BFF">
        <w:rPr>
          <w:sz w:val="16"/>
          <w:szCs w:val="16"/>
        </w:rPr>
        <w:t xml:space="preserve">Artículo 40.d del Reglamento de la Corte. Véase también, </w:t>
      </w:r>
      <w:r w:rsidRPr="007A3BFF">
        <w:rPr>
          <w:rFonts w:eastAsia="Calibri"/>
          <w:bCs/>
          <w:i/>
          <w:sz w:val="16"/>
          <w:szCs w:val="16"/>
          <w:shd w:val="clear" w:color="auto" w:fill="FFFFFF"/>
        </w:rPr>
        <w:t>Caso Garrido y Baigorria Vs. Argentina. Reparaciones y Costas, supra</w:t>
      </w:r>
      <w:r w:rsidRPr="007A3BFF">
        <w:rPr>
          <w:sz w:val="16"/>
          <w:szCs w:val="16"/>
        </w:rPr>
        <w:t xml:space="preserve">, </w:t>
      </w:r>
      <w:proofErr w:type="spellStart"/>
      <w:r w:rsidRPr="007A3BFF">
        <w:rPr>
          <w:sz w:val="16"/>
          <w:szCs w:val="16"/>
        </w:rPr>
        <w:t>párrs</w:t>
      </w:r>
      <w:proofErr w:type="spellEnd"/>
      <w:r w:rsidRPr="007A3BFF">
        <w:rPr>
          <w:sz w:val="16"/>
          <w:szCs w:val="16"/>
        </w:rPr>
        <w:t>. 79 y 82</w:t>
      </w:r>
      <w:r>
        <w:rPr>
          <w:rFonts w:eastAsia="Calibri"/>
          <w:sz w:val="16"/>
          <w:szCs w:val="16"/>
          <w:shd w:val="clear" w:color="auto" w:fill="FFFFFF"/>
        </w:rPr>
        <w:t xml:space="preserve">, y </w:t>
      </w:r>
      <w:r w:rsidRPr="00651F1A">
        <w:rPr>
          <w:i/>
          <w:sz w:val="16"/>
          <w:szCs w:val="16"/>
        </w:rPr>
        <w:t>Caso Ruiz Fuentes y otra Vs. Guatemala</w:t>
      </w:r>
      <w:r>
        <w:rPr>
          <w:i/>
          <w:sz w:val="16"/>
          <w:szCs w:val="16"/>
        </w:rPr>
        <w:t>, supra</w:t>
      </w:r>
      <w:r w:rsidRPr="00651F1A">
        <w:rPr>
          <w:sz w:val="16"/>
          <w:szCs w:val="16"/>
        </w:rPr>
        <w:t xml:space="preserve">, párr. </w:t>
      </w:r>
      <w:r>
        <w:rPr>
          <w:sz w:val="16"/>
          <w:szCs w:val="16"/>
        </w:rPr>
        <w:t>251</w:t>
      </w:r>
      <w:r w:rsidRPr="00651F1A">
        <w:rPr>
          <w:sz w:val="16"/>
          <w:szCs w:val="16"/>
        </w:rPr>
        <w:t>.</w:t>
      </w:r>
    </w:p>
  </w:footnote>
  <w:footnote w:id="132">
    <w:p w14:paraId="3D890E6C" w14:textId="70180785" w:rsidR="00997C54" w:rsidRPr="007A3BFF" w:rsidRDefault="00997C54" w:rsidP="003E34C2">
      <w:pPr>
        <w:spacing w:line="240" w:lineRule="auto"/>
        <w:rPr>
          <w:sz w:val="16"/>
          <w:szCs w:val="16"/>
        </w:rPr>
      </w:pPr>
      <w:r w:rsidRPr="007A3BFF">
        <w:rPr>
          <w:rStyle w:val="Refdenotaalpie"/>
          <w:rFonts w:eastAsia="Calibri"/>
          <w:sz w:val="16"/>
          <w:szCs w:val="16"/>
        </w:rPr>
        <w:footnoteRef/>
      </w:r>
      <w:r w:rsidRPr="007A3BFF">
        <w:rPr>
          <w:sz w:val="16"/>
          <w:szCs w:val="16"/>
        </w:rPr>
        <w:t xml:space="preserve"> </w:t>
      </w:r>
      <w:r w:rsidRPr="007A3BFF">
        <w:rPr>
          <w:sz w:val="16"/>
          <w:szCs w:val="16"/>
        </w:rPr>
        <w:tab/>
      </w:r>
      <w:r w:rsidRPr="007A3BFF">
        <w:rPr>
          <w:i/>
          <w:sz w:val="16"/>
          <w:szCs w:val="16"/>
        </w:rPr>
        <w:t>Cfr. Caso Chaparro Álvarez y Lapo Íñiguez Vs. Ecuador, supra</w:t>
      </w:r>
      <w:r w:rsidRPr="007A3BFF">
        <w:rPr>
          <w:sz w:val="16"/>
          <w:szCs w:val="16"/>
        </w:rPr>
        <w:t>, párr. 277</w:t>
      </w:r>
      <w:r>
        <w:rPr>
          <w:rFonts w:eastAsia="Calibri"/>
          <w:sz w:val="16"/>
          <w:szCs w:val="16"/>
          <w:shd w:val="clear" w:color="auto" w:fill="FFFFFF"/>
        </w:rPr>
        <w:t xml:space="preserve">, y </w:t>
      </w:r>
      <w:r w:rsidRPr="00651F1A">
        <w:rPr>
          <w:i/>
          <w:sz w:val="16"/>
          <w:szCs w:val="16"/>
        </w:rPr>
        <w:t>Caso Ruiz Fuentes y otra Vs. Guatemala</w:t>
      </w:r>
      <w:r>
        <w:rPr>
          <w:i/>
          <w:sz w:val="16"/>
          <w:szCs w:val="16"/>
        </w:rPr>
        <w:t>, supra</w:t>
      </w:r>
      <w:r w:rsidRPr="00651F1A">
        <w:rPr>
          <w:sz w:val="16"/>
          <w:szCs w:val="16"/>
        </w:rPr>
        <w:t xml:space="preserve">, párr. </w:t>
      </w:r>
      <w:r>
        <w:rPr>
          <w:sz w:val="16"/>
          <w:szCs w:val="16"/>
        </w:rPr>
        <w:t>251</w:t>
      </w:r>
      <w:r w:rsidRPr="00651F1A">
        <w:rPr>
          <w:sz w:val="16"/>
          <w:szCs w:val="16"/>
        </w:rPr>
        <w:t>.</w:t>
      </w:r>
    </w:p>
  </w:footnote>
  <w:footnote w:id="133">
    <w:p w14:paraId="4DFB0B11" w14:textId="4A30B6F3" w:rsidR="00997C54" w:rsidRPr="007A3BFF" w:rsidRDefault="00997C54" w:rsidP="003E34C2">
      <w:pPr>
        <w:spacing w:line="240" w:lineRule="auto"/>
        <w:rPr>
          <w:sz w:val="16"/>
          <w:szCs w:val="16"/>
        </w:rPr>
      </w:pPr>
      <w:r w:rsidRPr="007A3BFF">
        <w:rPr>
          <w:rStyle w:val="Refdenotaalpie"/>
          <w:sz w:val="16"/>
          <w:szCs w:val="16"/>
        </w:rPr>
        <w:footnoteRef/>
      </w:r>
      <w:r w:rsidRPr="007A3BFF">
        <w:rPr>
          <w:sz w:val="16"/>
          <w:szCs w:val="16"/>
        </w:rPr>
        <w:t xml:space="preserve"> </w:t>
      </w:r>
      <w:r w:rsidRPr="007A3BFF">
        <w:rPr>
          <w:sz w:val="16"/>
          <w:szCs w:val="16"/>
          <w:lang w:val="es-ES"/>
        </w:rPr>
        <w:tab/>
      </w:r>
      <w:r w:rsidRPr="007A3BFF">
        <w:rPr>
          <w:i/>
          <w:iCs/>
          <w:sz w:val="16"/>
          <w:szCs w:val="16"/>
        </w:rPr>
        <w:t>Cfr</w:t>
      </w:r>
      <w:r w:rsidRPr="007A3BFF">
        <w:rPr>
          <w:i/>
          <w:sz w:val="16"/>
          <w:szCs w:val="16"/>
        </w:rPr>
        <w:t>. Caso Gudiel Álvarez y otros (Diario Militar) Vs. Guatemala. Interpretación de la Sentencia de Fondo, Reparaciones y Costas</w:t>
      </w:r>
      <w:r w:rsidRPr="007A3BFF">
        <w:rPr>
          <w:sz w:val="16"/>
          <w:szCs w:val="16"/>
        </w:rPr>
        <w:t>. Sentencia de 19 de agosto de 2013. Serie C No. 262, párr. 62</w:t>
      </w:r>
      <w:r>
        <w:rPr>
          <w:rFonts w:eastAsia="Calibri"/>
          <w:sz w:val="16"/>
          <w:szCs w:val="16"/>
          <w:shd w:val="clear" w:color="auto" w:fill="FFFFFF"/>
        </w:rPr>
        <w:t xml:space="preserve">, y </w:t>
      </w:r>
      <w:r w:rsidRPr="00651F1A">
        <w:rPr>
          <w:i/>
          <w:sz w:val="16"/>
          <w:szCs w:val="16"/>
        </w:rPr>
        <w:t>Caso Ruiz Fuentes y otra Vs. Guatemala</w:t>
      </w:r>
      <w:r>
        <w:rPr>
          <w:i/>
          <w:sz w:val="16"/>
          <w:szCs w:val="16"/>
        </w:rPr>
        <w:t>, supra</w:t>
      </w:r>
      <w:r w:rsidRPr="00651F1A">
        <w:rPr>
          <w:sz w:val="16"/>
          <w:szCs w:val="16"/>
        </w:rPr>
        <w:t xml:space="preserve">, párr. </w:t>
      </w:r>
      <w:r>
        <w:rPr>
          <w:sz w:val="16"/>
          <w:szCs w:val="16"/>
        </w:rPr>
        <w:t>252</w:t>
      </w:r>
      <w:r w:rsidRPr="00651F1A">
        <w:rPr>
          <w:sz w:val="16"/>
          <w:szCs w:val="16"/>
        </w:rPr>
        <w:t>.</w:t>
      </w:r>
    </w:p>
  </w:footnote>
  <w:footnote w:id="134">
    <w:p w14:paraId="32E4701B" w14:textId="77777777" w:rsidR="00997C54" w:rsidRPr="007A3BFF" w:rsidRDefault="00997C54" w:rsidP="003E34C2">
      <w:pPr>
        <w:pStyle w:val="Textonotapie"/>
        <w:rPr>
          <w:sz w:val="16"/>
          <w:szCs w:val="16"/>
          <w:u w:val="single"/>
        </w:rPr>
      </w:pPr>
      <w:r w:rsidRPr="007A3BFF">
        <w:rPr>
          <w:rStyle w:val="Refdenotaalpie"/>
          <w:rFonts w:eastAsia="Calibri"/>
          <w:sz w:val="16"/>
          <w:szCs w:val="16"/>
        </w:rPr>
        <w:footnoteRef/>
      </w:r>
      <w:r w:rsidRPr="007A3BFF">
        <w:rPr>
          <w:sz w:val="16"/>
          <w:szCs w:val="16"/>
        </w:rPr>
        <w:t xml:space="preserve"> </w:t>
      </w:r>
      <w:r w:rsidRPr="007A3BFF">
        <w:rPr>
          <w:sz w:val="16"/>
          <w:szCs w:val="16"/>
        </w:rPr>
        <w:tab/>
      </w:r>
      <w:r w:rsidRPr="007A3BFF">
        <w:rPr>
          <w:bCs/>
          <w:sz w:val="16"/>
          <w:szCs w:val="16"/>
        </w:rPr>
        <w:t>AG/RES. 2426 (XXXVIII-O/08),</w:t>
      </w:r>
      <w:r w:rsidRPr="007A3BFF">
        <w:rPr>
          <w:rFonts w:cs="Verdana"/>
          <w:sz w:val="16"/>
          <w:szCs w:val="16"/>
        </w:rPr>
        <w:t xml:space="preserve"> </w:t>
      </w:r>
      <w:r w:rsidRPr="007A3BFF">
        <w:rPr>
          <w:sz w:val="16"/>
          <w:szCs w:val="16"/>
        </w:rPr>
        <w:t xml:space="preserve">Resolución adoptada por la Asamblea General de la OEA </w:t>
      </w:r>
      <w:r w:rsidRPr="007A3BFF">
        <w:rPr>
          <w:rFonts w:cs="Verdana"/>
          <w:sz w:val="16"/>
          <w:szCs w:val="16"/>
        </w:rPr>
        <w:t>durante la celebración del XXXVIII Período Ordinario de Sesiones de la OEA,</w:t>
      </w:r>
      <w:r w:rsidRPr="007A3BFF">
        <w:rPr>
          <w:bCs/>
          <w:sz w:val="16"/>
          <w:szCs w:val="16"/>
        </w:rPr>
        <w:t xml:space="preserve"> </w:t>
      </w:r>
      <w:r w:rsidRPr="007A3BFF">
        <w:rPr>
          <w:sz w:val="16"/>
          <w:szCs w:val="16"/>
        </w:rPr>
        <w:t>en la cuarta sesión plenaria,</w:t>
      </w:r>
      <w:r w:rsidRPr="007A3BFF">
        <w:rPr>
          <w:bCs/>
          <w:sz w:val="16"/>
          <w:szCs w:val="16"/>
        </w:rPr>
        <w:t xml:space="preserve"> </w:t>
      </w:r>
      <w:r w:rsidRPr="007A3BFF">
        <w:rPr>
          <w:sz w:val="16"/>
          <w:szCs w:val="16"/>
        </w:rPr>
        <w:t xml:space="preserve">celebrada el 3 de junio de 2008, </w:t>
      </w:r>
      <w:r w:rsidRPr="007A3BFF">
        <w:rPr>
          <w:i/>
          <w:sz w:val="16"/>
          <w:szCs w:val="16"/>
        </w:rPr>
        <w:t xml:space="preserve">“Creación del </w:t>
      </w:r>
      <w:r w:rsidRPr="007751FC">
        <w:rPr>
          <w:i/>
          <w:sz w:val="16"/>
          <w:szCs w:val="16"/>
        </w:rPr>
        <w:t>Fondo de Asistencia Legal del Sistema Interamericano de Derechos Humanos</w:t>
      </w:r>
      <w:r w:rsidRPr="007A3BFF">
        <w:rPr>
          <w:sz w:val="16"/>
          <w:szCs w:val="16"/>
        </w:rPr>
        <w:t>”, Punto Resolutivo 2.a</w:t>
      </w:r>
      <w:r w:rsidRPr="007A3BFF">
        <w:rPr>
          <w:rFonts w:cs="Verdana"/>
          <w:sz w:val="16"/>
          <w:szCs w:val="16"/>
        </w:rPr>
        <w:t xml:space="preserve">), y </w:t>
      </w:r>
      <w:r w:rsidRPr="007A3BFF">
        <w:rPr>
          <w:sz w:val="16"/>
          <w:szCs w:val="16"/>
        </w:rPr>
        <w:t>CP/RES. 963 (1728/09), Resolución adoptada el 11 de noviembre de 2009 por el Consejo Permanente de la OEA, “</w:t>
      </w:r>
      <w:r w:rsidRPr="007A3BFF">
        <w:rPr>
          <w:i/>
          <w:iCs/>
          <w:sz w:val="16"/>
          <w:szCs w:val="16"/>
        </w:rPr>
        <w:t xml:space="preserve">Reglamento para el Funcionamiento del Fondo de Asistencia </w:t>
      </w:r>
      <w:r w:rsidRPr="007751FC">
        <w:rPr>
          <w:i/>
          <w:iCs/>
          <w:sz w:val="16"/>
          <w:szCs w:val="16"/>
        </w:rPr>
        <w:t>Legal</w:t>
      </w:r>
      <w:r w:rsidRPr="007A3BFF">
        <w:rPr>
          <w:i/>
          <w:iCs/>
          <w:sz w:val="16"/>
          <w:szCs w:val="16"/>
        </w:rPr>
        <w:t xml:space="preserve"> del Sistema Interamericano de Derechos Humanos</w:t>
      </w:r>
      <w:r w:rsidRPr="007A3BFF">
        <w:rPr>
          <w:sz w:val="16"/>
          <w:szCs w:val="16"/>
        </w:rPr>
        <w:t>”, artículo 1.1.</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3A41B" w14:textId="77777777" w:rsidR="00997C54" w:rsidRDefault="00997C54" w:rsidP="00F94D74">
    <w:pPr>
      <w:pStyle w:val="Encabezado"/>
    </w:pPr>
  </w:p>
  <w:p w14:paraId="6DEB6C3C" w14:textId="77777777" w:rsidR="00997C54" w:rsidRDefault="00997C54" w:rsidP="00F94D74"/>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9FB18" w14:textId="77777777" w:rsidR="00997C54" w:rsidRDefault="00997C54">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42C3A"/>
    <w:multiLevelType w:val="hybridMultilevel"/>
    <w:tmpl w:val="28DAA348"/>
    <w:lvl w:ilvl="0" w:tplc="0C0A0011">
      <w:start w:val="1"/>
      <w:numFmt w:val="decimal"/>
      <w:lvlText w:val="%1)"/>
      <w:lvlJc w:val="left"/>
      <w:pPr>
        <w:ind w:left="720" w:hanging="360"/>
      </w:pPr>
      <w:rPr>
        <w:b w:val="0"/>
        <w:sz w:val="2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nsid w:val="03102057"/>
    <w:multiLevelType w:val="hybridMultilevel"/>
    <w:tmpl w:val="B93482C2"/>
    <w:lvl w:ilvl="0" w:tplc="04090017">
      <w:start w:val="1"/>
      <w:numFmt w:val="lowerLetter"/>
      <w:lvlText w:val="%1)"/>
      <w:lvlJc w:val="left"/>
      <w:pPr>
        <w:ind w:left="1068" w:hanging="360"/>
      </w:pPr>
      <w:rPr>
        <w:b w:val="0"/>
      </w:rPr>
    </w:lvl>
    <w:lvl w:ilvl="1" w:tplc="140A0019">
      <w:start w:val="1"/>
      <w:numFmt w:val="lowerLetter"/>
      <w:lvlText w:val="%2."/>
      <w:lvlJc w:val="left"/>
      <w:pPr>
        <w:ind w:left="1788" w:hanging="360"/>
      </w:pPr>
    </w:lvl>
    <w:lvl w:ilvl="2" w:tplc="140A001B">
      <w:start w:val="1"/>
      <w:numFmt w:val="lowerRoman"/>
      <w:lvlText w:val="%3."/>
      <w:lvlJc w:val="right"/>
      <w:pPr>
        <w:ind w:left="2508" w:hanging="180"/>
      </w:pPr>
    </w:lvl>
    <w:lvl w:ilvl="3" w:tplc="140A000F">
      <w:start w:val="1"/>
      <w:numFmt w:val="decimal"/>
      <w:lvlText w:val="%4."/>
      <w:lvlJc w:val="left"/>
      <w:pPr>
        <w:ind w:left="3228" w:hanging="360"/>
      </w:pPr>
    </w:lvl>
    <w:lvl w:ilvl="4" w:tplc="140A0019">
      <w:start w:val="1"/>
      <w:numFmt w:val="lowerLetter"/>
      <w:lvlText w:val="%5."/>
      <w:lvlJc w:val="left"/>
      <w:pPr>
        <w:ind w:left="3948" w:hanging="360"/>
      </w:pPr>
    </w:lvl>
    <w:lvl w:ilvl="5" w:tplc="140A001B">
      <w:start w:val="1"/>
      <w:numFmt w:val="lowerRoman"/>
      <w:lvlText w:val="%6."/>
      <w:lvlJc w:val="right"/>
      <w:pPr>
        <w:ind w:left="4668" w:hanging="180"/>
      </w:pPr>
    </w:lvl>
    <w:lvl w:ilvl="6" w:tplc="140A000F">
      <w:start w:val="1"/>
      <w:numFmt w:val="decimal"/>
      <w:lvlText w:val="%7."/>
      <w:lvlJc w:val="left"/>
      <w:pPr>
        <w:ind w:left="5388" w:hanging="360"/>
      </w:pPr>
    </w:lvl>
    <w:lvl w:ilvl="7" w:tplc="140A0019">
      <w:start w:val="1"/>
      <w:numFmt w:val="lowerLetter"/>
      <w:lvlText w:val="%8."/>
      <w:lvlJc w:val="left"/>
      <w:pPr>
        <w:ind w:left="6108" w:hanging="360"/>
      </w:pPr>
    </w:lvl>
    <w:lvl w:ilvl="8" w:tplc="140A001B">
      <w:start w:val="1"/>
      <w:numFmt w:val="lowerRoman"/>
      <w:lvlText w:val="%9."/>
      <w:lvlJc w:val="right"/>
      <w:pPr>
        <w:ind w:left="6828" w:hanging="180"/>
      </w:pPr>
    </w:lvl>
  </w:abstractNum>
  <w:abstractNum w:abstractNumId="2">
    <w:nsid w:val="04670157"/>
    <w:multiLevelType w:val="hybridMultilevel"/>
    <w:tmpl w:val="D8862654"/>
    <w:lvl w:ilvl="0" w:tplc="DB54C700">
      <w:start w:val="1"/>
      <w:numFmt w:val="decimal"/>
      <w:lvlText w:val="%1)"/>
      <w:lvlJc w:val="left"/>
      <w:pPr>
        <w:ind w:left="720" w:hanging="360"/>
      </w:pPr>
      <w:rPr>
        <w:b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nsid w:val="04E6191E"/>
    <w:multiLevelType w:val="hybridMultilevel"/>
    <w:tmpl w:val="B2DAE6C0"/>
    <w:lvl w:ilvl="0" w:tplc="D840B798">
      <w:start w:val="1"/>
      <w:numFmt w:val="upperLetter"/>
      <w:lvlText w:val="%1."/>
      <w:lvlJc w:val="left"/>
      <w:pPr>
        <w:ind w:left="1147" w:hanging="585"/>
      </w:pPr>
      <w:rPr>
        <w:rFonts w:hint="default"/>
      </w:rPr>
    </w:lvl>
    <w:lvl w:ilvl="1" w:tplc="140A0019" w:tentative="1">
      <w:start w:val="1"/>
      <w:numFmt w:val="lowerLetter"/>
      <w:lvlText w:val="%2."/>
      <w:lvlJc w:val="left"/>
      <w:pPr>
        <w:ind w:left="1642" w:hanging="360"/>
      </w:pPr>
    </w:lvl>
    <w:lvl w:ilvl="2" w:tplc="140A001B" w:tentative="1">
      <w:start w:val="1"/>
      <w:numFmt w:val="lowerRoman"/>
      <w:lvlText w:val="%3."/>
      <w:lvlJc w:val="right"/>
      <w:pPr>
        <w:ind w:left="2362" w:hanging="180"/>
      </w:pPr>
    </w:lvl>
    <w:lvl w:ilvl="3" w:tplc="140A000F" w:tentative="1">
      <w:start w:val="1"/>
      <w:numFmt w:val="decimal"/>
      <w:lvlText w:val="%4."/>
      <w:lvlJc w:val="left"/>
      <w:pPr>
        <w:ind w:left="3082" w:hanging="360"/>
      </w:pPr>
    </w:lvl>
    <w:lvl w:ilvl="4" w:tplc="140A0019" w:tentative="1">
      <w:start w:val="1"/>
      <w:numFmt w:val="lowerLetter"/>
      <w:lvlText w:val="%5."/>
      <w:lvlJc w:val="left"/>
      <w:pPr>
        <w:ind w:left="3802" w:hanging="360"/>
      </w:pPr>
    </w:lvl>
    <w:lvl w:ilvl="5" w:tplc="140A001B" w:tentative="1">
      <w:start w:val="1"/>
      <w:numFmt w:val="lowerRoman"/>
      <w:lvlText w:val="%6."/>
      <w:lvlJc w:val="right"/>
      <w:pPr>
        <w:ind w:left="4522" w:hanging="180"/>
      </w:pPr>
    </w:lvl>
    <w:lvl w:ilvl="6" w:tplc="140A000F" w:tentative="1">
      <w:start w:val="1"/>
      <w:numFmt w:val="decimal"/>
      <w:lvlText w:val="%7."/>
      <w:lvlJc w:val="left"/>
      <w:pPr>
        <w:ind w:left="5242" w:hanging="360"/>
      </w:pPr>
    </w:lvl>
    <w:lvl w:ilvl="7" w:tplc="140A0019" w:tentative="1">
      <w:start w:val="1"/>
      <w:numFmt w:val="lowerLetter"/>
      <w:lvlText w:val="%8."/>
      <w:lvlJc w:val="left"/>
      <w:pPr>
        <w:ind w:left="5962" w:hanging="360"/>
      </w:pPr>
    </w:lvl>
    <w:lvl w:ilvl="8" w:tplc="140A001B" w:tentative="1">
      <w:start w:val="1"/>
      <w:numFmt w:val="lowerRoman"/>
      <w:lvlText w:val="%9."/>
      <w:lvlJc w:val="right"/>
      <w:pPr>
        <w:ind w:left="6682" w:hanging="180"/>
      </w:pPr>
    </w:lvl>
  </w:abstractNum>
  <w:abstractNum w:abstractNumId="4">
    <w:nsid w:val="076C5F42"/>
    <w:multiLevelType w:val="hybridMultilevel"/>
    <w:tmpl w:val="0C2AEC58"/>
    <w:lvl w:ilvl="0" w:tplc="140A0017">
      <w:start w:val="1"/>
      <w:numFmt w:val="lowerLetter"/>
      <w:lvlText w:val="%1)"/>
      <w:lvlJc w:val="left"/>
      <w:pPr>
        <w:ind w:left="720" w:hanging="360"/>
      </w:pPr>
      <w:rPr>
        <w:rFonts w:hint="default"/>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nsid w:val="243378C6"/>
    <w:multiLevelType w:val="hybridMultilevel"/>
    <w:tmpl w:val="2C786CF2"/>
    <w:lvl w:ilvl="0" w:tplc="04090011">
      <w:start w:val="1"/>
      <w:numFmt w:val="decimal"/>
      <w:lvlText w:val="%1)"/>
      <w:lvlJc w:val="left"/>
      <w:pPr>
        <w:ind w:left="720" w:hanging="360"/>
      </w:pPr>
      <w:rPr>
        <w:b w:val="0"/>
        <w:sz w:val="2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nsid w:val="24EC2558"/>
    <w:multiLevelType w:val="hybridMultilevel"/>
    <w:tmpl w:val="D8862654"/>
    <w:lvl w:ilvl="0" w:tplc="DB54C700">
      <w:start w:val="1"/>
      <w:numFmt w:val="decimal"/>
      <w:lvlText w:val="%1)"/>
      <w:lvlJc w:val="left"/>
      <w:pPr>
        <w:ind w:left="720" w:hanging="360"/>
      </w:pPr>
      <w:rPr>
        <w:b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nsid w:val="26CE5869"/>
    <w:multiLevelType w:val="hybridMultilevel"/>
    <w:tmpl w:val="47501E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6144C9"/>
    <w:multiLevelType w:val="hybridMultilevel"/>
    <w:tmpl w:val="CFF0C922"/>
    <w:lvl w:ilvl="0" w:tplc="AAD2F022">
      <w:start w:val="1"/>
      <w:numFmt w:val="decimal"/>
      <w:pStyle w:val="PrrafodeSentencia"/>
      <w:lvlText w:val="%1."/>
      <w:lvlJc w:val="left"/>
      <w:pPr>
        <w:tabs>
          <w:tab w:val="num" w:pos="12305"/>
        </w:tabs>
      </w:pPr>
      <w:rPr>
        <w:rFonts w:ascii="Verdana" w:eastAsia="Times New Roman" w:hAnsi="Verdana"/>
        <w:b w:val="0"/>
        <w:bCs w:val="0"/>
        <w:i w:val="0"/>
        <w:iCs w:val="0"/>
        <w:strike w:val="0"/>
        <w:color w:val="auto"/>
        <w:sz w:val="20"/>
        <w:szCs w:val="20"/>
        <w:lang w:val="es-CO"/>
      </w:rPr>
    </w:lvl>
    <w:lvl w:ilvl="1" w:tplc="D8688752">
      <w:start w:val="1"/>
      <w:numFmt w:val="decimal"/>
      <w:lvlText w:val="%2."/>
      <w:lvlJc w:val="left"/>
      <w:pPr>
        <w:tabs>
          <w:tab w:val="num" w:pos="1080"/>
        </w:tabs>
        <w:ind w:left="1080" w:hanging="360"/>
      </w:pPr>
      <w:rPr>
        <w:rFonts w:hint="default"/>
        <w:b/>
        <w:bCs w:val="0"/>
        <w:i w:val="0"/>
        <w:iCs w:val="0"/>
        <w:color w:val="FF0000"/>
        <w:sz w:val="20"/>
        <w:szCs w:val="20"/>
      </w:rPr>
    </w:lvl>
    <w:lvl w:ilvl="2" w:tplc="0409001B">
      <w:start w:val="1"/>
      <w:numFmt w:val="lowerRoman"/>
      <w:lvlText w:val="%3."/>
      <w:lvlJc w:val="right"/>
      <w:pPr>
        <w:tabs>
          <w:tab w:val="num" w:pos="1530"/>
        </w:tabs>
        <w:ind w:left="1530" w:hanging="180"/>
      </w:pPr>
      <w:rPr>
        <w:b w:val="0"/>
        <w:strike w:val="0"/>
      </w:rPr>
    </w:lvl>
    <w:lvl w:ilvl="3" w:tplc="140A001B">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2E0A7AE1"/>
    <w:multiLevelType w:val="multilevel"/>
    <w:tmpl w:val="976A5FA6"/>
    <w:lvl w:ilvl="0">
      <w:start w:val="1"/>
      <w:numFmt w:val="decimal"/>
      <w:lvlText w:val="%1."/>
      <w:lvlJc w:val="left"/>
      <w:pPr>
        <w:ind w:left="1211" w:hanging="360"/>
      </w:pPr>
      <w:rPr>
        <w:rFonts w:ascii="Verdana" w:hAnsi="Verdana" w:hint="default"/>
        <w:b w:val="0"/>
        <w:i w:val="0"/>
        <w:sz w:val="20"/>
        <w:szCs w:val="20"/>
        <w:lang w:val="es-CR"/>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FE8103F"/>
    <w:multiLevelType w:val="hybridMultilevel"/>
    <w:tmpl w:val="B1E65DDE"/>
    <w:lvl w:ilvl="0" w:tplc="0546C094">
      <w:start w:val="1"/>
      <w:numFmt w:val="decimal"/>
      <w:lvlText w:val="%1."/>
      <w:lvlJc w:val="left"/>
      <w:pPr>
        <w:ind w:left="1080" w:hanging="360"/>
      </w:pPr>
      <w:rPr>
        <w:rFonts w:hint="default"/>
      </w:rPr>
    </w:lvl>
    <w:lvl w:ilvl="1" w:tplc="9E662AE6">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237286B"/>
    <w:multiLevelType w:val="hybridMultilevel"/>
    <w:tmpl w:val="B93482C2"/>
    <w:lvl w:ilvl="0" w:tplc="04090017">
      <w:start w:val="1"/>
      <w:numFmt w:val="lowerLetter"/>
      <w:lvlText w:val="%1)"/>
      <w:lvlJc w:val="left"/>
      <w:pPr>
        <w:ind w:left="1068" w:hanging="360"/>
      </w:pPr>
      <w:rPr>
        <w:b w:val="0"/>
      </w:rPr>
    </w:lvl>
    <w:lvl w:ilvl="1" w:tplc="140A0019">
      <w:start w:val="1"/>
      <w:numFmt w:val="lowerLetter"/>
      <w:lvlText w:val="%2."/>
      <w:lvlJc w:val="left"/>
      <w:pPr>
        <w:ind w:left="1788" w:hanging="360"/>
      </w:pPr>
    </w:lvl>
    <w:lvl w:ilvl="2" w:tplc="140A001B">
      <w:start w:val="1"/>
      <w:numFmt w:val="lowerRoman"/>
      <w:lvlText w:val="%3."/>
      <w:lvlJc w:val="right"/>
      <w:pPr>
        <w:ind w:left="2508" w:hanging="180"/>
      </w:pPr>
    </w:lvl>
    <w:lvl w:ilvl="3" w:tplc="140A000F">
      <w:start w:val="1"/>
      <w:numFmt w:val="decimal"/>
      <w:lvlText w:val="%4."/>
      <w:lvlJc w:val="left"/>
      <w:pPr>
        <w:ind w:left="3228" w:hanging="360"/>
      </w:pPr>
    </w:lvl>
    <w:lvl w:ilvl="4" w:tplc="140A0019">
      <w:start w:val="1"/>
      <w:numFmt w:val="lowerLetter"/>
      <w:lvlText w:val="%5."/>
      <w:lvlJc w:val="left"/>
      <w:pPr>
        <w:ind w:left="3948" w:hanging="360"/>
      </w:pPr>
    </w:lvl>
    <w:lvl w:ilvl="5" w:tplc="140A001B">
      <w:start w:val="1"/>
      <w:numFmt w:val="lowerRoman"/>
      <w:lvlText w:val="%6."/>
      <w:lvlJc w:val="right"/>
      <w:pPr>
        <w:ind w:left="4668" w:hanging="180"/>
      </w:pPr>
    </w:lvl>
    <w:lvl w:ilvl="6" w:tplc="140A000F">
      <w:start w:val="1"/>
      <w:numFmt w:val="decimal"/>
      <w:lvlText w:val="%7."/>
      <w:lvlJc w:val="left"/>
      <w:pPr>
        <w:ind w:left="5388" w:hanging="360"/>
      </w:pPr>
    </w:lvl>
    <w:lvl w:ilvl="7" w:tplc="140A0019">
      <w:start w:val="1"/>
      <w:numFmt w:val="lowerLetter"/>
      <w:lvlText w:val="%8."/>
      <w:lvlJc w:val="left"/>
      <w:pPr>
        <w:ind w:left="6108" w:hanging="360"/>
      </w:pPr>
    </w:lvl>
    <w:lvl w:ilvl="8" w:tplc="140A001B">
      <w:start w:val="1"/>
      <w:numFmt w:val="lowerRoman"/>
      <w:lvlText w:val="%9."/>
      <w:lvlJc w:val="right"/>
      <w:pPr>
        <w:ind w:left="6828" w:hanging="180"/>
      </w:pPr>
    </w:lvl>
  </w:abstractNum>
  <w:abstractNum w:abstractNumId="12">
    <w:nsid w:val="3B10138E"/>
    <w:multiLevelType w:val="hybridMultilevel"/>
    <w:tmpl w:val="B93482C2"/>
    <w:lvl w:ilvl="0" w:tplc="04090017">
      <w:start w:val="1"/>
      <w:numFmt w:val="lowerLetter"/>
      <w:lvlText w:val="%1)"/>
      <w:lvlJc w:val="left"/>
      <w:pPr>
        <w:ind w:left="1068" w:hanging="360"/>
      </w:pPr>
      <w:rPr>
        <w:b w:val="0"/>
      </w:rPr>
    </w:lvl>
    <w:lvl w:ilvl="1" w:tplc="140A0019">
      <w:start w:val="1"/>
      <w:numFmt w:val="lowerLetter"/>
      <w:lvlText w:val="%2."/>
      <w:lvlJc w:val="left"/>
      <w:pPr>
        <w:ind w:left="1788" w:hanging="360"/>
      </w:pPr>
    </w:lvl>
    <w:lvl w:ilvl="2" w:tplc="140A001B">
      <w:start w:val="1"/>
      <w:numFmt w:val="lowerRoman"/>
      <w:lvlText w:val="%3."/>
      <w:lvlJc w:val="right"/>
      <w:pPr>
        <w:ind w:left="2508" w:hanging="180"/>
      </w:pPr>
    </w:lvl>
    <w:lvl w:ilvl="3" w:tplc="140A000F">
      <w:start w:val="1"/>
      <w:numFmt w:val="decimal"/>
      <w:lvlText w:val="%4."/>
      <w:lvlJc w:val="left"/>
      <w:pPr>
        <w:ind w:left="3228" w:hanging="360"/>
      </w:pPr>
    </w:lvl>
    <w:lvl w:ilvl="4" w:tplc="140A0019">
      <w:start w:val="1"/>
      <w:numFmt w:val="lowerLetter"/>
      <w:lvlText w:val="%5."/>
      <w:lvlJc w:val="left"/>
      <w:pPr>
        <w:ind w:left="3948" w:hanging="360"/>
      </w:pPr>
    </w:lvl>
    <w:lvl w:ilvl="5" w:tplc="140A001B">
      <w:start w:val="1"/>
      <w:numFmt w:val="lowerRoman"/>
      <w:lvlText w:val="%6."/>
      <w:lvlJc w:val="right"/>
      <w:pPr>
        <w:ind w:left="4668" w:hanging="180"/>
      </w:pPr>
    </w:lvl>
    <w:lvl w:ilvl="6" w:tplc="140A000F">
      <w:start w:val="1"/>
      <w:numFmt w:val="decimal"/>
      <w:lvlText w:val="%7."/>
      <w:lvlJc w:val="left"/>
      <w:pPr>
        <w:ind w:left="5388" w:hanging="360"/>
      </w:pPr>
    </w:lvl>
    <w:lvl w:ilvl="7" w:tplc="140A0019">
      <w:start w:val="1"/>
      <w:numFmt w:val="lowerLetter"/>
      <w:lvlText w:val="%8."/>
      <w:lvlJc w:val="left"/>
      <w:pPr>
        <w:ind w:left="6108" w:hanging="360"/>
      </w:pPr>
    </w:lvl>
    <w:lvl w:ilvl="8" w:tplc="140A001B">
      <w:start w:val="1"/>
      <w:numFmt w:val="lowerRoman"/>
      <w:lvlText w:val="%9."/>
      <w:lvlJc w:val="right"/>
      <w:pPr>
        <w:ind w:left="6828" w:hanging="180"/>
      </w:pPr>
    </w:lvl>
  </w:abstractNum>
  <w:abstractNum w:abstractNumId="13">
    <w:nsid w:val="3BA44C05"/>
    <w:multiLevelType w:val="hybridMultilevel"/>
    <w:tmpl w:val="23FCDE72"/>
    <w:styleLink w:val="ImportedStyle1"/>
    <w:lvl w:ilvl="0" w:tplc="663461B6">
      <w:start w:val="1"/>
      <w:numFmt w:val="decimal"/>
      <w:lvlText w:val="%1."/>
      <w:lvlJc w:val="left"/>
      <w:pPr>
        <w:ind w:left="540" w:hanging="540"/>
      </w:pPr>
      <w:rPr>
        <w:rFonts w:hAnsi="Arial Unicode MS"/>
        <w:b/>
        <w:bC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BE480D8">
      <w:start w:val="1"/>
      <w:numFmt w:val="lowerLetter"/>
      <w:lvlText w:val="%2."/>
      <w:lvlJc w:val="left"/>
      <w:pPr>
        <w:ind w:left="720" w:hanging="720"/>
      </w:pPr>
      <w:rPr>
        <w:rFonts w:hAnsi="Arial Unicode MS"/>
        <w:b/>
        <w:bC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25AE274">
      <w:start w:val="1"/>
      <w:numFmt w:val="lowerRoman"/>
      <w:lvlText w:val="%3."/>
      <w:lvlJc w:val="left"/>
      <w:pPr>
        <w:tabs>
          <w:tab w:val="left" w:pos="540"/>
        </w:tabs>
        <w:ind w:left="1440" w:hanging="682"/>
      </w:pPr>
      <w:rPr>
        <w:rFonts w:hAnsi="Arial Unicode MS"/>
        <w:b/>
        <w:bC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AFA0C22">
      <w:start w:val="1"/>
      <w:numFmt w:val="decimal"/>
      <w:lvlText w:val="%4."/>
      <w:lvlJc w:val="left"/>
      <w:pPr>
        <w:tabs>
          <w:tab w:val="left" w:pos="540"/>
        </w:tabs>
        <w:ind w:left="2160" w:hanging="720"/>
      </w:pPr>
      <w:rPr>
        <w:rFonts w:hAnsi="Arial Unicode MS"/>
        <w:b/>
        <w:bC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AA430CE">
      <w:start w:val="1"/>
      <w:numFmt w:val="lowerLetter"/>
      <w:lvlText w:val="%5."/>
      <w:lvlJc w:val="left"/>
      <w:pPr>
        <w:tabs>
          <w:tab w:val="left" w:pos="540"/>
        </w:tabs>
        <w:ind w:left="2880" w:hanging="720"/>
      </w:pPr>
      <w:rPr>
        <w:rFonts w:hAnsi="Arial Unicode MS"/>
        <w:b/>
        <w:bC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6348524">
      <w:start w:val="1"/>
      <w:numFmt w:val="lowerRoman"/>
      <w:lvlText w:val="%6."/>
      <w:lvlJc w:val="left"/>
      <w:pPr>
        <w:tabs>
          <w:tab w:val="left" w:pos="540"/>
        </w:tabs>
        <w:ind w:left="3600" w:hanging="682"/>
      </w:pPr>
      <w:rPr>
        <w:rFonts w:hAnsi="Arial Unicode MS"/>
        <w:b/>
        <w:bC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003F70">
      <w:start w:val="1"/>
      <w:numFmt w:val="decimal"/>
      <w:lvlText w:val="%7."/>
      <w:lvlJc w:val="left"/>
      <w:pPr>
        <w:tabs>
          <w:tab w:val="left" w:pos="540"/>
        </w:tabs>
        <w:ind w:left="4320" w:hanging="720"/>
      </w:pPr>
      <w:rPr>
        <w:rFonts w:hAnsi="Arial Unicode MS"/>
        <w:b/>
        <w:bC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88CE436">
      <w:start w:val="1"/>
      <w:numFmt w:val="lowerLetter"/>
      <w:lvlText w:val="%8."/>
      <w:lvlJc w:val="left"/>
      <w:pPr>
        <w:tabs>
          <w:tab w:val="left" w:pos="540"/>
        </w:tabs>
        <w:ind w:left="5040" w:hanging="720"/>
      </w:pPr>
      <w:rPr>
        <w:rFonts w:hAnsi="Arial Unicode MS"/>
        <w:b/>
        <w:bC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BBE8C4A">
      <w:start w:val="1"/>
      <w:numFmt w:val="lowerRoman"/>
      <w:lvlText w:val="%9."/>
      <w:lvlJc w:val="left"/>
      <w:pPr>
        <w:tabs>
          <w:tab w:val="left" w:pos="540"/>
        </w:tabs>
        <w:ind w:left="5760" w:hanging="682"/>
      </w:pPr>
      <w:rPr>
        <w:rFonts w:hAnsi="Arial Unicode MS"/>
        <w:b/>
        <w:bC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nsid w:val="42736CA2"/>
    <w:multiLevelType w:val="hybridMultilevel"/>
    <w:tmpl w:val="8230DC98"/>
    <w:lvl w:ilvl="0" w:tplc="04090017">
      <w:start w:val="1"/>
      <w:numFmt w:val="lowerLetter"/>
      <w:lvlText w:val="%1)"/>
      <w:lvlJc w:val="left"/>
      <w:pPr>
        <w:ind w:left="720" w:hanging="360"/>
      </w:pPr>
      <w:rPr>
        <w:b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5">
    <w:nsid w:val="45D70CBF"/>
    <w:multiLevelType w:val="hybridMultilevel"/>
    <w:tmpl w:val="3BB4C1EC"/>
    <w:lvl w:ilvl="0" w:tplc="0E924352">
      <w:start w:val="1"/>
      <w:numFmt w:val="decimal"/>
      <w:pStyle w:val="Heading71"/>
      <w:lvlText w:val="D.%1."/>
      <w:lvlJc w:val="left"/>
      <w:pPr>
        <w:ind w:left="2138" w:hanging="360"/>
      </w:pPr>
      <w:rPr>
        <w:rFonts w:hint="default"/>
      </w:rPr>
    </w:lvl>
    <w:lvl w:ilvl="1" w:tplc="140A0019" w:tentative="1">
      <w:start w:val="1"/>
      <w:numFmt w:val="lowerLetter"/>
      <w:lvlText w:val="%2."/>
      <w:lvlJc w:val="left"/>
      <w:pPr>
        <w:ind w:left="2858" w:hanging="360"/>
      </w:pPr>
    </w:lvl>
    <w:lvl w:ilvl="2" w:tplc="140A001B" w:tentative="1">
      <w:start w:val="1"/>
      <w:numFmt w:val="lowerRoman"/>
      <w:lvlText w:val="%3."/>
      <w:lvlJc w:val="right"/>
      <w:pPr>
        <w:ind w:left="3578" w:hanging="180"/>
      </w:pPr>
    </w:lvl>
    <w:lvl w:ilvl="3" w:tplc="140A000F" w:tentative="1">
      <w:start w:val="1"/>
      <w:numFmt w:val="decimal"/>
      <w:lvlText w:val="%4."/>
      <w:lvlJc w:val="left"/>
      <w:pPr>
        <w:ind w:left="4298" w:hanging="360"/>
      </w:pPr>
    </w:lvl>
    <w:lvl w:ilvl="4" w:tplc="140A0019" w:tentative="1">
      <w:start w:val="1"/>
      <w:numFmt w:val="lowerLetter"/>
      <w:lvlText w:val="%5."/>
      <w:lvlJc w:val="left"/>
      <w:pPr>
        <w:ind w:left="5018" w:hanging="360"/>
      </w:pPr>
    </w:lvl>
    <w:lvl w:ilvl="5" w:tplc="140A001B" w:tentative="1">
      <w:start w:val="1"/>
      <w:numFmt w:val="lowerRoman"/>
      <w:lvlText w:val="%6."/>
      <w:lvlJc w:val="right"/>
      <w:pPr>
        <w:ind w:left="5738" w:hanging="180"/>
      </w:pPr>
    </w:lvl>
    <w:lvl w:ilvl="6" w:tplc="140A000F" w:tentative="1">
      <w:start w:val="1"/>
      <w:numFmt w:val="decimal"/>
      <w:lvlText w:val="%7."/>
      <w:lvlJc w:val="left"/>
      <w:pPr>
        <w:ind w:left="6458" w:hanging="360"/>
      </w:pPr>
    </w:lvl>
    <w:lvl w:ilvl="7" w:tplc="140A0019" w:tentative="1">
      <w:start w:val="1"/>
      <w:numFmt w:val="lowerLetter"/>
      <w:lvlText w:val="%8."/>
      <w:lvlJc w:val="left"/>
      <w:pPr>
        <w:ind w:left="7178" w:hanging="360"/>
      </w:pPr>
    </w:lvl>
    <w:lvl w:ilvl="8" w:tplc="140A001B" w:tentative="1">
      <w:start w:val="1"/>
      <w:numFmt w:val="lowerRoman"/>
      <w:lvlText w:val="%9."/>
      <w:lvlJc w:val="right"/>
      <w:pPr>
        <w:ind w:left="7898" w:hanging="180"/>
      </w:pPr>
    </w:lvl>
  </w:abstractNum>
  <w:abstractNum w:abstractNumId="16">
    <w:nsid w:val="4A5A34C0"/>
    <w:multiLevelType w:val="hybridMultilevel"/>
    <w:tmpl w:val="689EE850"/>
    <w:lvl w:ilvl="0" w:tplc="FA120EEA">
      <w:start w:val="1"/>
      <w:numFmt w:val="upperLetter"/>
      <w:lvlText w:val="%1."/>
      <w:lvlJc w:val="left"/>
      <w:pPr>
        <w:ind w:left="1147" w:hanging="585"/>
      </w:pPr>
      <w:rPr>
        <w:rFonts w:hint="default"/>
      </w:rPr>
    </w:lvl>
    <w:lvl w:ilvl="1" w:tplc="140A0019" w:tentative="1">
      <w:start w:val="1"/>
      <w:numFmt w:val="lowerLetter"/>
      <w:lvlText w:val="%2."/>
      <w:lvlJc w:val="left"/>
      <w:pPr>
        <w:ind w:left="1642" w:hanging="360"/>
      </w:pPr>
    </w:lvl>
    <w:lvl w:ilvl="2" w:tplc="140A001B" w:tentative="1">
      <w:start w:val="1"/>
      <w:numFmt w:val="lowerRoman"/>
      <w:lvlText w:val="%3."/>
      <w:lvlJc w:val="right"/>
      <w:pPr>
        <w:ind w:left="2362" w:hanging="180"/>
      </w:pPr>
    </w:lvl>
    <w:lvl w:ilvl="3" w:tplc="140A000F" w:tentative="1">
      <w:start w:val="1"/>
      <w:numFmt w:val="decimal"/>
      <w:lvlText w:val="%4."/>
      <w:lvlJc w:val="left"/>
      <w:pPr>
        <w:ind w:left="3082" w:hanging="360"/>
      </w:pPr>
    </w:lvl>
    <w:lvl w:ilvl="4" w:tplc="140A0019" w:tentative="1">
      <w:start w:val="1"/>
      <w:numFmt w:val="lowerLetter"/>
      <w:lvlText w:val="%5."/>
      <w:lvlJc w:val="left"/>
      <w:pPr>
        <w:ind w:left="3802" w:hanging="360"/>
      </w:pPr>
    </w:lvl>
    <w:lvl w:ilvl="5" w:tplc="140A001B" w:tentative="1">
      <w:start w:val="1"/>
      <w:numFmt w:val="lowerRoman"/>
      <w:lvlText w:val="%6."/>
      <w:lvlJc w:val="right"/>
      <w:pPr>
        <w:ind w:left="4522" w:hanging="180"/>
      </w:pPr>
    </w:lvl>
    <w:lvl w:ilvl="6" w:tplc="140A000F" w:tentative="1">
      <w:start w:val="1"/>
      <w:numFmt w:val="decimal"/>
      <w:lvlText w:val="%7."/>
      <w:lvlJc w:val="left"/>
      <w:pPr>
        <w:ind w:left="5242" w:hanging="360"/>
      </w:pPr>
    </w:lvl>
    <w:lvl w:ilvl="7" w:tplc="140A0019" w:tentative="1">
      <w:start w:val="1"/>
      <w:numFmt w:val="lowerLetter"/>
      <w:lvlText w:val="%8."/>
      <w:lvlJc w:val="left"/>
      <w:pPr>
        <w:ind w:left="5962" w:hanging="360"/>
      </w:pPr>
    </w:lvl>
    <w:lvl w:ilvl="8" w:tplc="140A001B" w:tentative="1">
      <w:start w:val="1"/>
      <w:numFmt w:val="lowerRoman"/>
      <w:lvlText w:val="%9."/>
      <w:lvlJc w:val="right"/>
      <w:pPr>
        <w:ind w:left="6682" w:hanging="180"/>
      </w:pPr>
    </w:lvl>
  </w:abstractNum>
  <w:abstractNum w:abstractNumId="17">
    <w:nsid w:val="4C5469CD"/>
    <w:multiLevelType w:val="hybridMultilevel"/>
    <w:tmpl w:val="D7FED382"/>
    <w:lvl w:ilvl="0" w:tplc="264CB88E">
      <w:start w:val="1"/>
      <w:numFmt w:val="decimal"/>
      <w:lvlText w:val="%1."/>
      <w:lvlJc w:val="left"/>
      <w:pPr>
        <w:ind w:left="720" w:hanging="360"/>
      </w:pPr>
      <w:rPr>
        <w:rFonts w:ascii="Verdana" w:eastAsia="Calibri" w:hAnsi="Verdana" w:cs="Times New Roman" w:hint="default"/>
        <w:b w:val="0"/>
        <w:i w:val="0"/>
        <w:strike w:val="0"/>
        <w:color w:val="auto"/>
        <w:sz w:val="20"/>
        <w:szCs w:val="20"/>
      </w:rPr>
    </w:lvl>
    <w:lvl w:ilvl="1" w:tplc="9B3E45F0">
      <w:start w:val="1"/>
      <w:numFmt w:val="lowerLetter"/>
      <w:pStyle w:val="Estilo4"/>
      <w:lvlText w:val="%2)"/>
      <w:lvlJc w:val="left"/>
      <w:pPr>
        <w:ind w:left="1440" w:hanging="360"/>
      </w:pPr>
      <w:rPr>
        <w:rFonts w:ascii="Verdana" w:hAnsi="Verdana" w:cs="Times New Roman" w:hint="default"/>
        <w:b w:val="0"/>
        <w:i/>
        <w:caps w:val="0"/>
        <w:strike w:val="0"/>
        <w:dstrike w:val="0"/>
        <w:vanish w:val="0"/>
        <w:color w:val="auto"/>
        <w:sz w:val="20"/>
        <w:vertAlign w:val="baseli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CD1B5F"/>
    <w:multiLevelType w:val="hybridMultilevel"/>
    <w:tmpl w:val="A7B675EA"/>
    <w:lvl w:ilvl="0" w:tplc="987A0574">
      <w:start w:val="1"/>
      <w:numFmt w:val="decimal"/>
      <w:lvlText w:val="%1."/>
      <w:lvlJc w:val="left"/>
      <w:pPr>
        <w:ind w:left="928" w:hanging="360"/>
      </w:pPr>
      <w:rPr>
        <w:rFonts w:ascii="Verdana" w:eastAsia="Batang" w:hAnsi="Verdana" w:cs="Times"/>
        <w:b w:val="0"/>
        <w:i w:val="0"/>
        <w:color w:val="auto"/>
        <w:sz w:val="20"/>
        <w:szCs w:val="20"/>
      </w:rPr>
    </w:lvl>
    <w:lvl w:ilvl="1" w:tplc="62A25344">
      <w:start w:val="1"/>
      <w:numFmt w:val="lowerLetter"/>
      <w:lvlText w:val="%2)"/>
      <w:lvlJc w:val="left"/>
      <w:pPr>
        <w:ind w:left="1080" w:hanging="360"/>
      </w:pPr>
      <w:rPr>
        <w:rFonts w:ascii="Verdana" w:eastAsia="Batang" w:hAnsi="Verdana" w:cs="Times"/>
      </w:rPr>
    </w:lvl>
    <w:lvl w:ilvl="2" w:tplc="487AF94A">
      <w:start w:val="1"/>
      <w:numFmt w:val="upperLetter"/>
      <w:lvlText w:val="%3."/>
      <w:lvlJc w:val="left"/>
      <w:pPr>
        <w:ind w:left="1980" w:hanging="360"/>
      </w:pPr>
      <w:rPr>
        <w:rFonts w:cs="Tahoma" w:hint="default"/>
      </w:rPr>
    </w:lvl>
    <w:lvl w:ilvl="3" w:tplc="F50C6474">
      <w:start w:val="1"/>
      <w:numFmt w:val="lowerLetter"/>
      <w:lvlText w:val="%4)"/>
      <w:lvlJc w:val="left"/>
      <w:pPr>
        <w:ind w:left="2520" w:hanging="360"/>
      </w:pPr>
      <w:rPr>
        <w:rFonts w:hint="default"/>
      </w:rPr>
    </w:lvl>
    <w:lvl w:ilvl="4" w:tplc="86144CC8">
      <w:start w:val="7"/>
      <w:numFmt w:val="decimal"/>
      <w:lvlText w:val="%5"/>
      <w:lvlJc w:val="left"/>
      <w:pPr>
        <w:ind w:left="3240" w:hanging="360"/>
      </w:pPr>
      <w:rPr>
        <w:rFonts w:hint="default"/>
        <w:i/>
      </w:r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nsid w:val="4EE731B6"/>
    <w:multiLevelType w:val="hybridMultilevel"/>
    <w:tmpl w:val="4AAE7D5A"/>
    <w:lvl w:ilvl="0" w:tplc="5520FEA0">
      <w:start w:val="6"/>
      <w:numFmt w:val="decimal"/>
      <w:lvlText w:val="%1."/>
      <w:lvlJc w:val="left"/>
      <w:pPr>
        <w:ind w:left="1070" w:hanging="360"/>
      </w:pPr>
      <w:rPr>
        <w:rFonts w:ascii="Verdana" w:eastAsia="Calibri" w:hAnsi="Verdana" w:hint="default"/>
        <w:b w:val="0"/>
        <w:i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E06E32"/>
    <w:multiLevelType w:val="hybridMultilevel"/>
    <w:tmpl w:val="FABE0216"/>
    <w:lvl w:ilvl="0" w:tplc="6F323408">
      <w:start w:val="1"/>
      <w:numFmt w:val="decimal"/>
      <w:lvlText w:val="%1."/>
      <w:lvlJc w:val="left"/>
      <w:pPr>
        <w:tabs>
          <w:tab w:val="num" w:pos="5057"/>
        </w:tabs>
      </w:pPr>
      <w:rPr>
        <w:rFonts w:ascii="Verdana" w:eastAsia="Times New Roman" w:hAnsi="Verdana" w:cs="Times New Roman" w:hint="default"/>
        <w:b w:val="0"/>
        <w:i w:val="0"/>
        <w:strike w:val="0"/>
        <w:color w:val="auto"/>
        <w:sz w:val="20"/>
        <w:lang w:val="es-ES"/>
      </w:rPr>
    </w:lvl>
    <w:lvl w:ilvl="1" w:tplc="91ECB87E">
      <w:start w:val="1"/>
      <w:numFmt w:val="lowerLetter"/>
      <w:lvlText w:val="%2)"/>
      <w:lvlJc w:val="left"/>
      <w:pPr>
        <w:tabs>
          <w:tab w:val="num" w:pos="1080"/>
        </w:tabs>
        <w:ind w:left="1080" w:hanging="360"/>
      </w:pPr>
      <w:rPr>
        <w:rFonts w:cs="Times New Roman" w:hint="default"/>
        <w:b w:val="0"/>
        <w:i w:val="0"/>
        <w:sz w:val="20"/>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abstractNum w:abstractNumId="21">
    <w:nsid w:val="59542BA5"/>
    <w:multiLevelType w:val="hybridMultilevel"/>
    <w:tmpl w:val="22E4DB82"/>
    <w:lvl w:ilvl="0" w:tplc="B576EF06">
      <w:start w:val="1"/>
      <w:numFmt w:val="decimal"/>
      <w:lvlText w:val="%1."/>
      <w:lvlJc w:val="left"/>
      <w:pPr>
        <w:ind w:left="360" w:hanging="360"/>
      </w:pPr>
      <w:rPr>
        <w:rFonts w:ascii="Verdana" w:hAnsi="Verdana" w:hint="default"/>
        <w:b w:val="0"/>
        <w:i w:val="0"/>
        <w:strike w:val="0"/>
        <w:dstrike w:val="0"/>
        <w:color w:val="auto"/>
        <w:sz w:val="20"/>
        <w:szCs w:val="20"/>
        <w:u w:val="none"/>
        <w:effect w:val="none"/>
        <w:vertAlign w:val="baseline"/>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nsid w:val="62081F2A"/>
    <w:multiLevelType w:val="hybridMultilevel"/>
    <w:tmpl w:val="9FA88704"/>
    <w:lvl w:ilvl="0" w:tplc="140A000F">
      <w:start w:val="1"/>
      <w:numFmt w:val="decimal"/>
      <w:lvlText w:val="%1."/>
      <w:lvlJc w:val="left"/>
      <w:pPr>
        <w:ind w:left="-774" w:hanging="360"/>
      </w:pPr>
    </w:lvl>
    <w:lvl w:ilvl="1" w:tplc="140A0019" w:tentative="1">
      <w:start w:val="1"/>
      <w:numFmt w:val="lowerLetter"/>
      <w:lvlText w:val="%2."/>
      <w:lvlJc w:val="left"/>
      <w:pPr>
        <w:ind w:left="-54" w:hanging="360"/>
      </w:pPr>
    </w:lvl>
    <w:lvl w:ilvl="2" w:tplc="140A001B" w:tentative="1">
      <w:start w:val="1"/>
      <w:numFmt w:val="lowerRoman"/>
      <w:lvlText w:val="%3."/>
      <w:lvlJc w:val="right"/>
      <w:pPr>
        <w:ind w:left="666" w:hanging="180"/>
      </w:pPr>
    </w:lvl>
    <w:lvl w:ilvl="3" w:tplc="140A000F" w:tentative="1">
      <w:start w:val="1"/>
      <w:numFmt w:val="decimal"/>
      <w:lvlText w:val="%4."/>
      <w:lvlJc w:val="left"/>
      <w:pPr>
        <w:ind w:left="1386" w:hanging="360"/>
      </w:pPr>
    </w:lvl>
    <w:lvl w:ilvl="4" w:tplc="140A0019" w:tentative="1">
      <w:start w:val="1"/>
      <w:numFmt w:val="lowerLetter"/>
      <w:lvlText w:val="%5."/>
      <w:lvlJc w:val="left"/>
      <w:pPr>
        <w:ind w:left="2106" w:hanging="360"/>
      </w:pPr>
    </w:lvl>
    <w:lvl w:ilvl="5" w:tplc="140A001B" w:tentative="1">
      <w:start w:val="1"/>
      <w:numFmt w:val="lowerRoman"/>
      <w:lvlText w:val="%6."/>
      <w:lvlJc w:val="right"/>
      <w:pPr>
        <w:ind w:left="2826" w:hanging="180"/>
      </w:pPr>
    </w:lvl>
    <w:lvl w:ilvl="6" w:tplc="140A000F" w:tentative="1">
      <w:start w:val="1"/>
      <w:numFmt w:val="decimal"/>
      <w:lvlText w:val="%7."/>
      <w:lvlJc w:val="left"/>
      <w:pPr>
        <w:ind w:left="3546" w:hanging="360"/>
      </w:pPr>
    </w:lvl>
    <w:lvl w:ilvl="7" w:tplc="140A0019" w:tentative="1">
      <w:start w:val="1"/>
      <w:numFmt w:val="lowerLetter"/>
      <w:lvlText w:val="%8."/>
      <w:lvlJc w:val="left"/>
      <w:pPr>
        <w:ind w:left="4266" w:hanging="360"/>
      </w:pPr>
    </w:lvl>
    <w:lvl w:ilvl="8" w:tplc="140A001B" w:tentative="1">
      <w:start w:val="1"/>
      <w:numFmt w:val="lowerRoman"/>
      <w:lvlText w:val="%9."/>
      <w:lvlJc w:val="right"/>
      <w:pPr>
        <w:ind w:left="4986" w:hanging="180"/>
      </w:pPr>
    </w:lvl>
  </w:abstractNum>
  <w:abstractNum w:abstractNumId="23">
    <w:nsid w:val="6A5C2388"/>
    <w:multiLevelType w:val="hybridMultilevel"/>
    <w:tmpl w:val="FECA59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17B38C1"/>
    <w:multiLevelType w:val="hybridMultilevel"/>
    <w:tmpl w:val="C588904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5">
    <w:nsid w:val="76753A80"/>
    <w:multiLevelType w:val="hybridMultilevel"/>
    <w:tmpl w:val="B9B8489E"/>
    <w:lvl w:ilvl="0" w:tplc="5126705A">
      <w:start w:val="1"/>
      <w:numFmt w:val="decimal"/>
      <w:lvlText w:val="%1."/>
      <w:lvlJc w:val="left"/>
      <w:pPr>
        <w:ind w:left="0" w:firstLine="0"/>
      </w:pPr>
      <w:rPr>
        <w:rFonts w:ascii="Verdana" w:hAnsi="Verdana" w:hint="default"/>
        <w:b w:val="0"/>
        <w:i w:val="0"/>
        <w:strike w:val="0"/>
        <w:color w:val="auto"/>
        <w:sz w:val="20"/>
        <w:szCs w:val="20"/>
        <w:lang w:val="es-ES"/>
      </w:rPr>
    </w:lvl>
    <w:lvl w:ilvl="1" w:tplc="2C0A0019">
      <w:start w:val="1"/>
      <w:numFmt w:val="lowerLetter"/>
      <w:lvlText w:val="%2."/>
      <w:lvlJc w:val="left"/>
      <w:pPr>
        <w:ind w:left="1298" w:hanging="360"/>
      </w:pPr>
      <w:rPr>
        <w:rFonts w:hint="default"/>
        <w:lang w:val="es-CR"/>
      </w:rPr>
    </w:lvl>
    <w:lvl w:ilvl="2" w:tplc="4202A1AC">
      <w:start w:val="1"/>
      <w:numFmt w:val="lowerRoman"/>
      <w:lvlText w:val="%3."/>
      <w:lvlJc w:val="right"/>
      <w:pPr>
        <w:ind w:left="2018" w:hanging="180"/>
      </w:pPr>
      <w:rPr>
        <w:i/>
      </w:rPr>
    </w:lvl>
    <w:lvl w:ilvl="3" w:tplc="3F0893E6" w:tentative="1">
      <w:start w:val="1"/>
      <w:numFmt w:val="decimal"/>
      <w:lvlText w:val="%4."/>
      <w:lvlJc w:val="left"/>
      <w:pPr>
        <w:ind w:left="2738" w:hanging="360"/>
      </w:pPr>
    </w:lvl>
    <w:lvl w:ilvl="4" w:tplc="E7BA4BB6" w:tentative="1">
      <w:start w:val="1"/>
      <w:numFmt w:val="lowerLetter"/>
      <w:lvlText w:val="%5."/>
      <w:lvlJc w:val="left"/>
      <w:pPr>
        <w:ind w:left="3458" w:hanging="360"/>
      </w:pPr>
    </w:lvl>
    <w:lvl w:ilvl="5" w:tplc="2C0A001B" w:tentative="1">
      <w:start w:val="1"/>
      <w:numFmt w:val="lowerRoman"/>
      <w:lvlText w:val="%6."/>
      <w:lvlJc w:val="right"/>
      <w:pPr>
        <w:ind w:left="4178" w:hanging="180"/>
      </w:pPr>
    </w:lvl>
    <w:lvl w:ilvl="6" w:tplc="2C0A000F" w:tentative="1">
      <w:start w:val="1"/>
      <w:numFmt w:val="decimal"/>
      <w:lvlText w:val="%7."/>
      <w:lvlJc w:val="left"/>
      <w:pPr>
        <w:ind w:left="4898" w:hanging="360"/>
      </w:pPr>
    </w:lvl>
    <w:lvl w:ilvl="7" w:tplc="2C0A0019" w:tentative="1">
      <w:start w:val="1"/>
      <w:numFmt w:val="lowerLetter"/>
      <w:lvlText w:val="%8."/>
      <w:lvlJc w:val="left"/>
      <w:pPr>
        <w:ind w:left="5618" w:hanging="360"/>
      </w:pPr>
    </w:lvl>
    <w:lvl w:ilvl="8" w:tplc="2C0A001B" w:tentative="1">
      <w:start w:val="1"/>
      <w:numFmt w:val="lowerRoman"/>
      <w:lvlText w:val="%9."/>
      <w:lvlJc w:val="right"/>
      <w:pPr>
        <w:ind w:left="6338" w:hanging="180"/>
      </w:pPr>
    </w:lvl>
  </w:abstractNum>
  <w:abstractNum w:abstractNumId="26">
    <w:nsid w:val="79354707"/>
    <w:multiLevelType w:val="hybridMultilevel"/>
    <w:tmpl w:val="BDF00F96"/>
    <w:lvl w:ilvl="0" w:tplc="68F4B366">
      <w:start w:val="1"/>
      <w:numFmt w:val="decimal"/>
      <w:lvlText w:val="%1."/>
      <w:lvlJc w:val="left"/>
      <w:pPr>
        <w:ind w:left="825" w:hanging="825"/>
      </w:pPr>
      <w:rPr>
        <w:rFonts w:ascii="Verdana" w:eastAsia="Verdana" w:hAnsi="Verdana" w:cs="Verdana" w:hint="default"/>
        <w:b w:val="0"/>
        <w:i w:val="0"/>
        <w:color w:val="auto"/>
        <w:sz w:val="20"/>
        <w:szCs w:val="20"/>
        <w:vertAlign w:val="baseline"/>
        <w:lang w:val="es-ES"/>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num w:numId="1">
    <w:abstractNumId w:val="8"/>
  </w:num>
  <w:num w:numId="2">
    <w:abstractNumId w:val="17"/>
  </w:num>
  <w:num w:numId="3">
    <w:abstractNumId w:val="10"/>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1"/>
  </w:num>
  <w:num w:numId="10">
    <w:abstractNumId w:val="12"/>
  </w:num>
  <w:num w:numId="11">
    <w:abstractNumId w:val="26"/>
  </w:num>
  <w:num w:numId="12">
    <w:abstractNumId w:val="9"/>
  </w:num>
  <w:num w:numId="13">
    <w:abstractNumId w:val="20"/>
  </w:num>
  <w:num w:numId="14">
    <w:abstractNumId w:val="19"/>
  </w:num>
  <w:num w:numId="15">
    <w:abstractNumId w:val="4"/>
  </w:num>
  <w:num w:numId="16">
    <w:abstractNumId w:val="3"/>
  </w:num>
  <w:num w:numId="17">
    <w:abstractNumId w:val="15"/>
  </w:num>
  <w:num w:numId="18">
    <w:abstractNumId w:val="16"/>
  </w:num>
  <w:num w:numId="19">
    <w:abstractNumId w:val="23"/>
  </w:num>
  <w:num w:numId="20">
    <w:abstractNumId w:val="21"/>
  </w:num>
  <w:num w:numId="21">
    <w:abstractNumId w:val="18"/>
  </w:num>
  <w:num w:numId="22">
    <w:abstractNumId w:val="7"/>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5"/>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6"/>
  </w:num>
  <w:num w:numId="30">
    <w:abstractNumId w:val="25"/>
  </w:num>
  <w:num w:numId="3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516"/>
    <w:rsid w:val="000012D0"/>
    <w:rsid w:val="00002749"/>
    <w:rsid w:val="00012CE2"/>
    <w:rsid w:val="000149F8"/>
    <w:rsid w:val="000176BB"/>
    <w:rsid w:val="0002154A"/>
    <w:rsid w:val="00023CB0"/>
    <w:rsid w:val="000242AB"/>
    <w:rsid w:val="00027FB2"/>
    <w:rsid w:val="000337A7"/>
    <w:rsid w:val="000508B6"/>
    <w:rsid w:val="00054D66"/>
    <w:rsid w:val="00055DA5"/>
    <w:rsid w:val="00056E57"/>
    <w:rsid w:val="00057635"/>
    <w:rsid w:val="00057A16"/>
    <w:rsid w:val="00060FA6"/>
    <w:rsid w:val="00061A1C"/>
    <w:rsid w:val="00061E05"/>
    <w:rsid w:val="00064B26"/>
    <w:rsid w:val="000653C2"/>
    <w:rsid w:val="000725E4"/>
    <w:rsid w:val="000753C7"/>
    <w:rsid w:val="00075A44"/>
    <w:rsid w:val="00080FD2"/>
    <w:rsid w:val="0008199A"/>
    <w:rsid w:val="0008596B"/>
    <w:rsid w:val="00091131"/>
    <w:rsid w:val="00094448"/>
    <w:rsid w:val="00096823"/>
    <w:rsid w:val="000A0776"/>
    <w:rsid w:val="000A0DA8"/>
    <w:rsid w:val="000B15FD"/>
    <w:rsid w:val="000C2689"/>
    <w:rsid w:val="000C4077"/>
    <w:rsid w:val="000D2EAA"/>
    <w:rsid w:val="000E2B8A"/>
    <w:rsid w:val="000E7FAE"/>
    <w:rsid w:val="000F0120"/>
    <w:rsid w:val="000F20CA"/>
    <w:rsid w:val="000F6C48"/>
    <w:rsid w:val="00100F11"/>
    <w:rsid w:val="00105001"/>
    <w:rsid w:val="0010568E"/>
    <w:rsid w:val="00105AB8"/>
    <w:rsid w:val="001062D5"/>
    <w:rsid w:val="00110556"/>
    <w:rsid w:val="00110D58"/>
    <w:rsid w:val="0011211B"/>
    <w:rsid w:val="00114200"/>
    <w:rsid w:val="001157D2"/>
    <w:rsid w:val="00120C97"/>
    <w:rsid w:val="00121688"/>
    <w:rsid w:val="00126E06"/>
    <w:rsid w:val="00127CF0"/>
    <w:rsid w:val="0013227C"/>
    <w:rsid w:val="00140196"/>
    <w:rsid w:val="00140BA6"/>
    <w:rsid w:val="0014109D"/>
    <w:rsid w:val="00142347"/>
    <w:rsid w:val="001430FB"/>
    <w:rsid w:val="00146B66"/>
    <w:rsid w:val="0014742A"/>
    <w:rsid w:val="001523C1"/>
    <w:rsid w:val="00165B47"/>
    <w:rsid w:val="001772DF"/>
    <w:rsid w:val="001813DE"/>
    <w:rsid w:val="00183A69"/>
    <w:rsid w:val="00185528"/>
    <w:rsid w:val="00190F6E"/>
    <w:rsid w:val="0019200D"/>
    <w:rsid w:val="00193548"/>
    <w:rsid w:val="001A1689"/>
    <w:rsid w:val="001A1A8F"/>
    <w:rsid w:val="001A31E1"/>
    <w:rsid w:val="001A3D54"/>
    <w:rsid w:val="001A6BC7"/>
    <w:rsid w:val="001B07E3"/>
    <w:rsid w:val="001B12CA"/>
    <w:rsid w:val="001B599B"/>
    <w:rsid w:val="001B62C9"/>
    <w:rsid w:val="001B680E"/>
    <w:rsid w:val="001B6BB6"/>
    <w:rsid w:val="001C29E4"/>
    <w:rsid w:val="001C51C3"/>
    <w:rsid w:val="001C75B2"/>
    <w:rsid w:val="001D557D"/>
    <w:rsid w:val="001D5BF4"/>
    <w:rsid w:val="001D6AEB"/>
    <w:rsid w:val="001E05E9"/>
    <w:rsid w:val="001F241D"/>
    <w:rsid w:val="001F2DA4"/>
    <w:rsid w:val="001F7381"/>
    <w:rsid w:val="0020109A"/>
    <w:rsid w:val="002025CD"/>
    <w:rsid w:val="00210C11"/>
    <w:rsid w:val="00214D3E"/>
    <w:rsid w:val="002156A7"/>
    <w:rsid w:val="00217BCC"/>
    <w:rsid w:val="00220E54"/>
    <w:rsid w:val="00222187"/>
    <w:rsid w:val="00225AF2"/>
    <w:rsid w:val="002277CC"/>
    <w:rsid w:val="002307A9"/>
    <w:rsid w:val="002316FA"/>
    <w:rsid w:val="002321AE"/>
    <w:rsid w:val="00234096"/>
    <w:rsid w:val="002343C9"/>
    <w:rsid w:val="002346F4"/>
    <w:rsid w:val="00235346"/>
    <w:rsid w:val="00241F90"/>
    <w:rsid w:val="00247CE0"/>
    <w:rsid w:val="002628A9"/>
    <w:rsid w:val="00262BEA"/>
    <w:rsid w:val="002667D1"/>
    <w:rsid w:val="00271557"/>
    <w:rsid w:val="00274BD9"/>
    <w:rsid w:val="002758CE"/>
    <w:rsid w:val="002839D7"/>
    <w:rsid w:val="00283C75"/>
    <w:rsid w:val="0029594D"/>
    <w:rsid w:val="002A1E37"/>
    <w:rsid w:val="002A2505"/>
    <w:rsid w:val="002A5E94"/>
    <w:rsid w:val="002B19E7"/>
    <w:rsid w:val="002B3FA1"/>
    <w:rsid w:val="002B45C8"/>
    <w:rsid w:val="002B7D4D"/>
    <w:rsid w:val="002C0A4A"/>
    <w:rsid w:val="002C35E6"/>
    <w:rsid w:val="002C55E5"/>
    <w:rsid w:val="002C56E0"/>
    <w:rsid w:val="002C684D"/>
    <w:rsid w:val="002D09F5"/>
    <w:rsid w:val="002D37A3"/>
    <w:rsid w:val="002D37DA"/>
    <w:rsid w:val="002D65AB"/>
    <w:rsid w:val="002D7F5D"/>
    <w:rsid w:val="002E5FF5"/>
    <w:rsid w:val="002F080E"/>
    <w:rsid w:val="00301F9E"/>
    <w:rsid w:val="00304FC0"/>
    <w:rsid w:val="00310982"/>
    <w:rsid w:val="00316587"/>
    <w:rsid w:val="00316E86"/>
    <w:rsid w:val="00321C98"/>
    <w:rsid w:val="0032208D"/>
    <w:rsid w:val="003248AE"/>
    <w:rsid w:val="00324FD8"/>
    <w:rsid w:val="00327DC6"/>
    <w:rsid w:val="003307A3"/>
    <w:rsid w:val="00333BAA"/>
    <w:rsid w:val="0034039C"/>
    <w:rsid w:val="00347225"/>
    <w:rsid w:val="00352233"/>
    <w:rsid w:val="00354A24"/>
    <w:rsid w:val="00364CE4"/>
    <w:rsid w:val="0036509D"/>
    <w:rsid w:val="00367639"/>
    <w:rsid w:val="00372207"/>
    <w:rsid w:val="003754B6"/>
    <w:rsid w:val="003759DE"/>
    <w:rsid w:val="0037705F"/>
    <w:rsid w:val="003800CF"/>
    <w:rsid w:val="00381A2C"/>
    <w:rsid w:val="003836DE"/>
    <w:rsid w:val="00385A28"/>
    <w:rsid w:val="00390DC3"/>
    <w:rsid w:val="00390E2D"/>
    <w:rsid w:val="00392D8F"/>
    <w:rsid w:val="003977EE"/>
    <w:rsid w:val="003B178A"/>
    <w:rsid w:val="003B5A0B"/>
    <w:rsid w:val="003C1B9F"/>
    <w:rsid w:val="003C63AC"/>
    <w:rsid w:val="003C695C"/>
    <w:rsid w:val="003C71BF"/>
    <w:rsid w:val="003D10D0"/>
    <w:rsid w:val="003D467C"/>
    <w:rsid w:val="003E34C2"/>
    <w:rsid w:val="003E5988"/>
    <w:rsid w:val="003E5D77"/>
    <w:rsid w:val="003E7659"/>
    <w:rsid w:val="003F0125"/>
    <w:rsid w:val="003F1249"/>
    <w:rsid w:val="003F37A6"/>
    <w:rsid w:val="003F65B9"/>
    <w:rsid w:val="0040223B"/>
    <w:rsid w:val="00404F63"/>
    <w:rsid w:val="00407D53"/>
    <w:rsid w:val="00413AA6"/>
    <w:rsid w:val="00413CC7"/>
    <w:rsid w:val="00416AAE"/>
    <w:rsid w:val="00416C9C"/>
    <w:rsid w:val="0042064C"/>
    <w:rsid w:val="00436F04"/>
    <w:rsid w:val="00443AB4"/>
    <w:rsid w:val="00445A6D"/>
    <w:rsid w:val="00446328"/>
    <w:rsid w:val="00454AB3"/>
    <w:rsid w:val="00454CF5"/>
    <w:rsid w:val="004570E5"/>
    <w:rsid w:val="00457796"/>
    <w:rsid w:val="00461E94"/>
    <w:rsid w:val="00463492"/>
    <w:rsid w:val="004658E1"/>
    <w:rsid w:val="00466A26"/>
    <w:rsid w:val="004670CC"/>
    <w:rsid w:val="00467516"/>
    <w:rsid w:val="00471D83"/>
    <w:rsid w:val="00477B00"/>
    <w:rsid w:val="00491045"/>
    <w:rsid w:val="004917B4"/>
    <w:rsid w:val="00491A91"/>
    <w:rsid w:val="00493100"/>
    <w:rsid w:val="004966F0"/>
    <w:rsid w:val="004968EC"/>
    <w:rsid w:val="00497330"/>
    <w:rsid w:val="004A3528"/>
    <w:rsid w:val="004A4400"/>
    <w:rsid w:val="004C3044"/>
    <w:rsid w:val="004C6365"/>
    <w:rsid w:val="004C7410"/>
    <w:rsid w:val="004C7DD9"/>
    <w:rsid w:val="004D18B0"/>
    <w:rsid w:val="004D19BA"/>
    <w:rsid w:val="004D2A8A"/>
    <w:rsid w:val="004D3611"/>
    <w:rsid w:val="004D7A9A"/>
    <w:rsid w:val="004E1EBF"/>
    <w:rsid w:val="004E7EAA"/>
    <w:rsid w:val="004F0364"/>
    <w:rsid w:val="004F183C"/>
    <w:rsid w:val="004F5372"/>
    <w:rsid w:val="005001EF"/>
    <w:rsid w:val="0050134A"/>
    <w:rsid w:val="00501812"/>
    <w:rsid w:val="005039F3"/>
    <w:rsid w:val="00503CA9"/>
    <w:rsid w:val="00505B56"/>
    <w:rsid w:val="005114A6"/>
    <w:rsid w:val="00512FE3"/>
    <w:rsid w:val="00513FB5"/>
    <w:rsid w:val="005168A3"/>
    <w:rsid w:val="005205C2"/>
    <w:rsid w:val="00520A12"/>
    <w:rsid w:val="005243E0"/>
    <w:rsid w:val="005263C5"/>
    <w:rsid w:val="00530549"/>
    <w:rsid w:val="00531FA1"/>
    <w:rsid w:val="00533D83"/>
    <w:rsid w:val="00537440"/>
    <w:rsid w:val="00543113"/>
    <w:rsid w:val="0054395E"/>
    <w:rsid w:val="00543CF0"/>
    <w:rsid w:val="005441F5"/>
    <w:rsid w:val="005505BC"/>
    <w:rsid w:val="00554EE6"/>
    <w:rsid w:val="00560ED8"/>
    <w:rsid w:val="00562B60"/>
    <w:rsid w:val="00565C70"/>
    <w:rsid w:val="005665EA"/>
    <w:rsid w:val="005755CB"/>
    <w:rsid w:val="00576A60"/>
    <w:rsid w:val="00581DF4"/>
    <w:rsid w:val="0058253F"/>
    <w:rsid w:val="005856BA"/>
    <w:rsid w:val="00586682"/>
    <w:rsid w:val="005879F4"/>
    <w:rsid w:val="00592898"/>
    <w:rsid w:val="00595BCC"/>
    <w:rsid w:val="00595ECD"/>
    <w:rsid w:val="00597F47"/>
    <w:rsid w:val="005B0504"/>
    <w:rsid w:val="005B1846"/>
    <w:rsid w:val="005C15DA"/>
    <w:rsid w:val="005C1BC6"/>
    <w:rsid w:val="005D4B02"/>
    <w:rsid w:val="005D68EF"/>
    <w:rsid w:val="005E031D"/>
    <w:rsid w:val="005E11DE"/>
    <w:rsid w:val="005E4981"/>
    <w:rsid w:val="005E5782"/>
    <w:rsid w:val="005E759C"/>
    <w:rsid w:val="005F7A89"/>
    <w:rsid w:val="006023CA"/>
    <w:rsid w:val="00603E71"/>
    <w:rsid w:val="00603FE8"/>
    <w:rsid w:val="006056B1"/>
    <w:rsid w:val="00605A7E"/>
    <w:rsid w:val="0061213A"/>
    <w:rsid w:val="00612CA7"/>
    <w:rsid w:val="00613D97"/>
    <w:rsid w:val="00615EFE"/>
    <w:rsid w:val="00626325"/>
    <w:rsid w:val="00627A64"/>
    <w:rsid w:val="00635466"/>
    <w:rsid w:val="006364DC"/>
    <w:rsid w:val="00640511"/>
    <w:rsid w:val="006418F0"/>
    <w:rsid w:val="00642A2A"/>
    <w:rsid w:val="0064527F"/>
    <w:rsid w:val="006477EA"/>
    <w:rsid w:val="00651F1A"/>
    <w:rsid w:val="00654122"/>
    <w:rsid w:val="006549F9"/>
    <w:rsid w:val="0065543C"/>
    <w:rsid w:val="00655DF6"/>
    <w:rsid w:val="006568C0"/>
    <w:rsid w:val="00661BF7"/>
    <w:rsid w:val="00662E96"/>
    <w:rsid w:val="006648A6"/>
    <w:rsid w:val="00667F73"/>
    <w:rsid w:val="00671BF2"/>
    <w:rsid w:val="0067293F"/>
    <w:rsid w:val="00687D89"/>
    <w:rsid w:val="006946DD"/>
    <w:rsid w:val="0069630E"/>
    <w:rsid w:val="006A039C"/>
    <w:rsid w:val="006A06FC"/>
    <w:rsid w:val="006A14B8"/>
    <w:rsid w:val="006A3375"/>
    <w:rsid w:val="006B0525"/>
    <w:rsid w:val="006B0711"/>
    <w:rsid w:val="006B14CC"/>
    <w:rsid w:val="006C13B7"/>
    <w:rsid w:val="006C1554"/>
    <w:rsid w:val="006C7DDC"/>
    <w:rsid w:val="006D15E2"/>
    <w:rsid w:val="006D21AB"/>
    <w:rsid w:val="006D26D6"/>
    <w:rsid w:val="006D5E65"/>
    <w:rsid w:val="006E0A18"/>
    <w:rsid w:val="006E3776"/>
    <w:rsid w:val="006F1490"/>
    <w:rsid w:val="006F1D46"/>
    <w:rsid w:val="006F2319"/>
    <w:rsid w:val="00716DEE"/>
    <w:rsid w:val="00717973"/>
    <w:rsid w:val="00717EDD"/>
    <w:rsid w:val="00727C92"/>
    <w:rsid w:val="007300AE"/>
    <w:rsid w:val="0073088D"/>
    <w:rsid w:val="00734219"/>
    <w:rsid w:val="007403F5"/>
    <w:rsid w:val="00741CF1"/>
    <w:rsid w:val="007446EE"/>
    <w:rsid w:val="00744FA0"/>
    <w:rsid w:val="00750FE9"/>
    <w:rsid w:val="00752167"/>
    <w:rsid w:val="007523D7"/>
    <w:rsid w:val="00755067"/>
    <w:rsid w:val="007569ED"/>
    <w:rsid w:val="007578CE"/>
    <w:rsid w:val="00771716"/>
    <w:rsid w:val="00772536"/>
    <w:rsid w:val="00772CF7"/>
    <w:rsid w:val="00773E86"/>
    <w:rsid w:val="00774978"/>
    <w:rsid w:val="007751FC"/>
    <w:rsid w:val="0078052E"/>
    <w:rsid w:val="00781395"/>
    <w:rsid w:val="00782926"/>
    <w:rsid w:val="007843EC"/>
    <w:rsid w:val="00785EE9"/>
    <w:rsid w:val="007901B2"/>
    <w:rsid w:val="00791B94"/>
    <w:rsid w:val="0079394F"/>
    <w:rsid w:val="00793E88"/>
    <w:rsid w:val="00794B92"/>
    <w:rsid w:val="007A0C3C"/>
    <w:rsid w:val="007A3BFF"/>
    <w:rsid w:val="007A57CF"/>
    <w:rsid w:val="007B0815"/>
    <w:rsid w:val="007B2D56"/>
    <w:rsid w:val="007B4579"/>
    <w:rsid w:val="007C4270"/>
    <w:rsid w:val="007C5F06"/>
    <w:rsid w:val="007D011F"/>
    <w:rsid w:val="007D7BAF"/>
    <w:rsid w:val="007D7CAA"/>
    <w:rsid w:val="007E1E6B"/>
    <w:rsid w:val="007E78F2"/>
    <w:rsid w:val="007F727E"/>
    <w:rsid w:val="0080157D"/>
    <w:rsid w:val="008036BA"/>
    <w:rsid w:val="00810FFD"/>
    <w:rsid w:val="0081227B"/>
    <w:rsid w:val="008127CE"/>
    <w:rsid w:val="008130AB"/>
    <w:rsid w:val="00821FA5"/>
    <w:rsid w:val="008244E9"/>
    <w:rsid w:val="008254BE"/>
    <w:rsid w:val="0083159E"/>
    <w:rsid w:val="00831B76"/>
    <w:rsid w:val="00833C12"/>
    <w:rsid w:val="008364D8"/>
    <w:rsid w:val="008372D9"/>
    <w:rsid w:val="00842E01"/>
    <w:rsid w:val="0084377A"/>
    <w:rsid w:val="00851B50"/>
    <w:rsid w:val="008721E0"/>
    <w:rsid w:val="0087580C"/>
    <w:rsid w:val="00875E1D"/>
    <w:rsid w:val="00876021"/>
    <w:rsid w:val="008761A1"/>
    <w:rsid w:val="0088006C"/>
    <w:rsid w:val="00882D47"/>
    <w:rsid w:val="0088325F"/>
    <w:rsid w:val="008854AF"/>
    <w:rsid w:val="00891A4D"/>
    <w:rsid w:val="008A1387"/>
    <w:rsid w:val="008A21A9"/>
    <w:rsid w:val="008A431D"/>
    <w:rsid w:val="008A6BDD"/>
    <w:rsid w:val="008B3192"/>
    <w:rsid w:val="008B35D9"/>
    <w:rsid w:val="008B3A58"/>
    <w:rsid w:val="008C072E"/>
    <w:rsid w:val="008C0EBD"/>
    <w:rsid w:val="008C2FE4"/>
    <w:rsid w:val="008C31F3"/>
    <w:rsid w:val="008C6C3F"/>
    <w:rsid w:val="008D35E1"/>
    <w:rsid w:val="008D46B3"/>
    <w:rsid w:val="008D67A8"/>
    <w:rsid w:val="008F022B"/>
    <w:rsid w:val="008F0C4B"/>
    <w:rsid w:val="008F2941"/>
    <w:rsid w:val="008F31D6"/>
    <w:rsid w:val="008F3AC2"/>
    <w:rsid w:val="008F434A"/>
    <w:rsid w:val="008F60BE"/>
    <w:rsid w:val="009039D3"/>
    <w:rsid w:val="00903B4C"/>
    <w:rsid w:val="009059FF"/>
    <w:rsid w:val="00911CDD"/>
    <w:rsid w:val="009123F0"/>
    <w:rsid w:val="00912D70"/>
    <w:rsid w:val="00913C29"/>
    <w:rsid w:val="00917604"/>
    <w:rsid w:val="0092241B"/>
    <w:rsid w:val="00927458"/>
    <w:rsid w:val="00930580"/>
    <w:rsid w:val="009318E8"/>
    <w:rsid w:val="00932D7E"/>
    <w:rsid w:val="009349C1"/>
    <w:rsid w:val="0093500F"/>
    <w:rsid w:val="009352D9"/>
    <w:rsid w:val="0094111B"/>
    <w:rsid w:val="009463F5"/>
    <w:rsid w:val="00950CD1"/>
    <w:rsid w:val="00951F92"/>
    <w:rsid w:val="00955D29"/>
    <w:rsid w:val="00960C38"/>
    <w:rsid w:val="00961172"/>
    <w:rsid w:val="00961F85"/>
    <w:rsid w:val="00964384"/>
    <w:rsid w:val="00964E7B"/>
    <w:rsid w:val="0096619A"/>
    <w:rsid w:val="00971F4A"/>
    <w:rsid w:val="00975621"/>
    <w:rsid w:val="00983CA4"/>
    <w:rsid w:val="00983DDA"/>
    <w:rsid w:val="00984BE2"/>
    <w:rsid w:val="00986049"/>
    <w:rsid w:val="009926FC"/>
    <w:rsid w:val="00993B05"/>
    <w:rsid w:val="00994215"/>
    <w:rsid w:val="00994A3F"/>
    <w:rsid w:val="009951E1"/>
    <w:rsid w:val="009970C0"/>
    <w:rsid w:val="00997C54"/>
    <w:rsid w:val="009A026E"/>
    <w:rsid w:val="009A078E"/>
    <w:rsid w:val="009A0F02"/>
    <w:rsid w:val="009A2DC8"/>
    <w:rsid w:val="009A4756"/>
    <w:rsid w:val="009A773E"/>
    <w:rsid w:val="009B4428"/>
    <w:rsid w:val="009B6C29"/>
    <w:rsid w:val="009C1102"/>
    <w:rsid w:val="009C2F37"/>
    <w:rsid w:val="009D02FB"/>
    <w:rsid w:val="009D10D3"/>
    <w:rsid w:val="009D154A"/>
    <w:rsid w:val="009D3953"/>
    <w:rsid w:val="009E03F1"/>
    <w:rsid w:val="009E187A"/>
    <w:rsid w:val="009E36B4"/>
    <w:rsid w:val="009E5A18"/>
    <w:rsid w:val="009E5B7E"/>
    <w:rsid w:val="009F0B17"/>
    <w:rsid w:val="009F2D9B"/>
    <w:rsid w:val="00A04B9C"/>
    <w:rsid w:val="00A05D96"/>
    <w:rsid w:val="00A061CF"/>
    <w:rsid w:val="00A12D72"/>
    <w:rsid w:val="00A1565E"/>
    <w:rsid w:val="00A17C8B"/>
    <w:rsid w:val="00A17E90"/>
    <w:rsid w:val="00A20AA4"/>
    <w:rsid w:val="00A20EEE"/>
    <w:rsid w:val="00A20F6E"/>
    <w:rsid w:val="00A22E91"/>
    <w:rsid w:val="00A251F9"/>
    <w:rsid w:val="00A316A6"/>
    <w:rsid w:val="00A316CD"/>
    <w:rsid w:val="00A326C1"/>
    <w:rsid w:val="00A3534B"/>
    <w:rsid w:val="00A41AF7"/>
    <w:rsid w:val="00A43896"/>
    <w:rsid w:val="00A51269"/>
    <w:rsid w:val="00A5185F"/>
    <w:rsid w:val="00A52E73"/>
    <w:rsid w:val="00A566C3"/>
    <w:rsid w:val="00A668C7"/>
    <w:rsid w:val="00A67BE6"/>
    <w:rsid w:val="00A705E3"/>
    <w:rsid w:val="00A736B6"/>
    <w:rsid w:val="00A83C64"/>
    <w:rsid w:val="00A844A4"/>
    <w:rsid w:val="00A905B0"/>
    <w:rsid w:val="00A905F0"/>
    <w:rsid w:val="00A94869"/>
    <w:rsid w:val="00A9791E"/>
    <w:rsid w:val="00AA3AF9"/>
    <w:rsid w:val="00AA4B23"/>
    <w:rsid w:val="00AB2AD5"/>
    <w:rsid w:val="00AB3AB0"/>
    <w:rsid w:val="00AB5EBB"/>
    <w:rsid w:val="00AB5ED0"/>
    <w:rsid w:val="00AC00A6"/>
    <w:rsid w:val="00AC4E0D"/>
    <w:rsid w:val="00AC585B"/>
    <w:rsid w:val="00AE561D"/>
    <w:rsid w:val="00AE6516"/>
    <w:rsid w:val="00AF0882"/>
    <w:rsid w:val="00B02558"/>
    <w:rsid w:val="00B1216A"/>
    <w:rsid w:val="00B172AD"/>
    <w:rsid w:val="00B207EC"/>
    <w:rsid w:val="00B2132C"/>
    <w:rsid w:val="00B21AF4"/>
    <w:rsid w:val="00B24754"/>
    <w:rsid w:val="00B24A14"/>
    <w:rsid w:val="00B36299"/>
    <w:rsid w:val="00B40804"/>
    <w:rsid w:val="00B41676"/>
    <w:rsid w:val="00B4601A"/>
    <w:rsid w:val="00B465BA"/>
    <w:rsid w:val="00B5003F"/>
    <w:rsid w:val="00B57788"/>
    <w:rsid w:val="00B6245B"/>
    <w:rsid w:val="00B6797C"/>
    <w:rsid w:val="00B70CAE"/>
    <w:rsid w:val="00B77101"/>
    <w:rsid w:val="00B810B4"/>
    <w:rsid w:val="00B85477"/>
    <w:rsid w:val="00B8732C"/>
    <w:rsid w:val="00B875B9"/>
    <w:rsid w:val="00B91B89"/>
    <w:rsid w:val="00B92C19"/>
    <w:rsid w:val="00B93BE0"/>
    <w:rsid w:val="00BA16B6"/>
    <w:rsid w:val="00BA25AC"/>
    <w:rsid w:val="00BB11D4"/>
    <w:rsid w:val="00BB6503"/>
    <w:rsid w:val="00BC2B71"/>
    <w:rsid w:val="00BC3948"/>
    <w:rsid w:val="00BD3B9C"/>
    <w:rsid w:val="00BD6719"/>
    <w:rsid w:val="00BD6A1E"/>
    <w:rsid w:val="00BD708C"/>
    <w:rsid w:val="00BD7BBF"/>
    <w:rsid w:val="00BE32BB"/>
    <w:rsid w:val="00BE6554"/>
    <w:rsid w:val="00BF590B"/>
    <w:rsid w:val="00C00B1C"/>
    <w:rsid w:val="00C01284"/>
    <w:rsid w:val="00C01360"/>
    <w:rsid w:val="00C01B2E"/>
    <w:rsid w:val="00C01EE4"/>
    <w:rsid w:val="00C03F01"/>
    <w:rsid w:val="00C05D4F"/>
    <w:rsid w:val="00C10093"/>
    <w:rsid w:val="00C100E3"/>
    <w:rsid w:val="00C11540"/>
    <w:rsid w:val="00C1205E"/>
    <w:rsid w:val="00C12182"/>
    <w:rsid w:val="00C1468F"/>
    <w:rsid w:val="00C16C7B"/>
    <w:rsid w:val="00C16F77"/>
    <w:rsid w:val="00C2134F"/>
    <w:rsid w:val="00C24E96"/>
    <w:rsid w:val="00C2503C"/>
    <w:rsid w:val="00C254C5"/>
    <w:rsid w:val="00C2670C"/>
    <w:rsid w:val="00C30A70"/>
    <w:rsid w:val="00C32837"/>
    <w:rsid w:val="00C32DC3"/>
    <w:rsid w:val="00C34A63"/>
    <w:rsid w:val="00C403D1"/>
    <w:rsid w:val="00C45B86"/>
    <w:rsid w:val="00C529DF"/>
    <w:rsid w:val="00C54CB7"/>
    <w:rsid w:val="00C725C8"/>
    <w:rsid w:val="00C73DAD"/>
    <w:rsid w:val="00C81095"/>
    <w:rsid w:val="00C954D4"/>
    <w:rsid w:val="00C96DBB"/>
    <w:rsid w:val="00CA0621"/>
    <w:rsid w:val="00CA172F"/>
    <w:rsid w:val="00CA678F"/>
    <w:rsid w:val="00CA78C6"/>
    <w:rsid w:val="00CB7236"/>
    <w:rsid w:val="00CB728B"/>
    <w:rsid w:val="00CB748D"/>
    <w:rsid w:val="00CC1AFA"/>
    <w:rsid w:val="00CC2603"/>
    <w:rsid w:val="00CC63BE"/>
    <w:rsid w:val="00CD152D"/>
    <w:rsid w:val="00CD3BD1"/>
    <w:rsid w:val="00CD729B"/>
    <w:rsid w:val="00CE37C5"/>
    <w:rsid w:val="00CE4855"/>
    <w:rsid w:val="00CF2E39"/>
    <w:rsid w:val="00CF46EB"/>
    <w:rsid w:val="00CF51D7"/>
    <w:rsid w:val="00D0423F"/>
    <w:rsid w:val="00D12A53"/>
    <w:rsid w:val="00D1606D"/>
    <w:rsid w:val="00D16F9D"/>
    <w:rsid w:val="00D17A76"/>
    <w:rsid w:val="00D233A1"/>
    <w:rsid w:val="00D30FDB"/>
    <w:rsid w:val="00D31090"/>
    <w:rsid w:val="00D34D5C"/>
    <w:rsid w:val="00D353E4"/>
    <w:rsid w:val="00D406E3"/>
    <w:rsid w:val="00D40C5B"/>
    <w:rsid w:val="00D4412B"/>
    <w:rsid w:val="00D45579"/>
    <w:rsid w:val="00D50BA8"/>
    <w:rsid w:val="00D5467B"/>
    <w:rsid w:val="00D54C6F"/>
    <w:rsid w:val="00D56F88"/>
    <w:rsid w:val="00D57776"/>
    <w:rsid w:val="00D60CA8"/>
    <w:rsid w:val="00D6244C"/>
    <w:rsid w:val="00D642B6"/>
    <w:rsid w:val="00D6447D"/>
    <w:rsid w:val="00D65DFF"/>
    <w:rsid w:val="00D664CD"/>
    <w:rsid w:val="00D7233C"/>
    <w:rsid w:val="00D73FC6"/>
    <w:rsid w:val="00D7421B"/>
    <w:rsid w:val="00D7443B"/>
    <w:rsid w:val="00D81826"/>
    <w:rsid w:val="00D826BD"/>
    <w:rsid w:val="00D845E3"/>
    <w:rsid w:val="00D8493A"/>
    <w:rsid w:val="00D86497"/>
    <w:rsid w:val="00D8798C"/>
    <w:rsid w:val="00D907B0"/>
    <w:rsid w:val="00DA1539"/>
    <w:rsid w:val="00DA1B65"/>
    <w:rsid w:val="00DA24C0"/>
    <w:rsid w:val="00DA4BDA"/>
    <w:rsid w:val="00DC1D55"/>
    <w:rsid w:val="00DD1E20"/>
    <w:rsid w:val="00DD2ED2"/>
    <w:rsid w:val="00DD40EA"/>
    <w:rsid w:val="00DD58CA"/>
    <w:rsid w:val="00DE3257"/>
    <w:rsid w:val="00DE43BB"/>
    <w:rsid w:val="00DF1629"/>
    <w:rsid w:val="00DF3409"/>
    <w:rsid w:val="00DF6312"/>
    <w:rsid w:val="00E03025"/>
    <w:rsid w:val="00E04DEA"/>
    <w:rsid w:val="00E06F63"/>
    <w:rsid w:val="00E10C54"/>
    <w:rsid w:val="00E11D58"/>
    <w:rsid w:val="00E158F1"/>
    <w:rsid w:val="00E234CC"/>
    <w:rsid w:val="00E237FF"/>
    <w:rsid w:val="00E258C4"/>
    <w:rsid w:val="00E27090"/>
    <w:rsid w:val="00E31DCD"/>
    <w:rsid w:val="00E41855"/>
    <w:rsid w:val="00E45960"/>
    <w:rsid w:val="00E51F81"/>
    <w:rsid w:val="00E52193"/>
    <w:rsid w:val="00E52671"/>
    <w:rsid w:val="00E52B37"/>
    <w:rsid w:val="00E548F5"/>
    <w:rsid w:val="00E56348"/>
    <w:rsid w:val="00E56B37"/>
    <w:rsid w:val="00E57DAF"/>
    <w:rsid w:val="00E57F25"/>
    <w:rsid w:val="00E61E6F"/>
    <w:rsid w:val="00E61F1A"/>
    <w:rsid w:val="00E72142"/>
    <w:rsid w:val="00E721D8"/>
    <w:rsid w:val="00E80DB7"/>
    <w:rsid w:val="00E856E5"/>
    <w:rsid w:val="00E95BF8"/>
    <w:rsid w:val="00EA102E"/>
    <w:rsid w:val="00EA2460"/>
    <w:rsid w:val="00EA750C"/>
    <w:rsid w:val="00EA7D28"/>
    <w:rsid w:val="00EB0EAF"/>
    <w:rsid w:val="00EB6091"/>
    <w:rsid w:val="00EB64EC"/>
    <w:rsid w:val="00ED42E5"/>
    <w:rsid w:val="00ED5ADD"/>
    <w:rsid w:val="00ED719D"/>
    <w:rsid w:val="00EE0CD0"/>
    <w:rsid w:val="00EE16ED"/>
    <w:rsid w:val="00EE31FD"/>
    <w:rsid w:val="00EE45F8"/>
    <w:rsid w:val="00EE62DD"/>
    <w:rsid w:val="00EF19BD"/>
    <w:rsid w:val="00EF42CB"/>
    <w:rsid w:val="00EF5117"/>
    <w:rsid w:val="00F0074A"/>
    <w:rsid w:val="00F022B2"/>
    <w:rsid w:val="00F02594"/>
    <w:rsid w:val="00F0339D"/>
    <w:rsid w:val="00F13E49"/>
    <w:rsid w:val="00F1710C"/>
    <w:rsid w:val="00F205CB"/>
    <w:rsid w:val="00F24EB4"/>
    <w:rsid w:val="00F25967"/>
    <w:rsid w:val="00F26391"/>
    <w:rsid w:val="00F34BA8"/>
    <w:rsid w:val="00F40750"/>
    <w:rsid w:val="00F42939"/>
    <w:rsid w:val="00F519EF"/>
    <w:rsid w:val="00F5216A"/>
    <w:rsid w:val="00F53377"/>
    <w:rsid w:val="00F5534E"/>
    <w:rsid w:val="00F569B6"/>
    <w:rsid w:val="00F62610"/>
    <w:rsid w:val="00F63340"/>
    <w:rsid w:val="00F63460"/>
    <w:rsid w:val="00F653ED"/>
    <w:rsid w:val="00F662B3"/>
    <w:rsid w:val="00F76DD1"/>
    <w:rsid w:val="00F83A85"/>
    <w:rsid w:val="00F85E66"/>
    <w:rsid w:val="00F87E0F"/>
    <w:rsid w:val="00F94D74"/>
    <w:rsid w:val="00F951E7"/>
    <w:rsid w:val="00FA2EAC"/>
    <w:rsid w:val="00FA326D"/>
    <w:rsid w:val="00FB16EA"/>
    <w:rsid w:val="00FB5CB3"/>
    <w:rsid w:val="00FC539C"/>
    <w:rsid w:val="00FC64E5"/>
    <w:rsid w:val="00FD01AF"/>
    <w:rsid w:val="00FD0B53"/>
    <w:rsid w:val="00FD2A3C"/>
    <w:rsid w:val="00FD4F2C"/>
    <w:rsid w:val="00FD5713"/>
    <w:rsid w:val="00FD6916"/>
    <w:rsid w:val="00FD7C03"/>
    <w:rsid w:val="00FE0425"/>
    <w:rsid w:val="00FE2E00"/>
    <w:rsid w:val="00FE3131"/>
    <w:rsid w:val="00FE4D0B"/>
    <w:rsid w:val="00FE7CAD"/>
    <w:rsid w:val="00FF057C"/>
    <w:rsid w:val="00FF2138"/>
    <w:rsid w:val="00FF4308"/>
    <w:rsid w:val="00FF75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94E6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D74"/>
    <w:pPr>
      <w:widowControl w:val="0"/>
      <w:adjustRightInd w:val="0"/>
      <w:spacing w:after="0" w:line="360" w:lineRule="atLeast"/>
      <w:jc w:val="both"/>
      <w:textAlignment w:val="baseline"/>
    </w:pPr>
    <w:rPr>
      <w:rFonts w:ascii="Verdana" w:eastAsia="Times New Roman" w:hAnsi="Verdana" w:cs="Times New Roman"/>
      <w:sz w:val="20"/>
      <w:szCs w:val="20"/>
      <w:lang w:val="es-CR" w:eastAsia="es-CR"/>
    </w:rPr>
  </w:style>
  <w:style w:type="paragraph" w:styleId="Ttulo1">
    <w:name w:val="heading 1"/>
    <w:basedOn w:val="Normal"/>
    <w:next w:val="Normal"/>
    <w:link w:val="Ttulo1Car"/>
    <w:uiPriority w:val="9"/>
    <w:qFormat/>
    <w:rsid w:val="0010568E"/>
    <w:pPr>
      <w:keepNext/>
      <w:keepLines/>
      <w:tabs>
        <w:tab w:val="left" w:pos="851"/>
      </w:tabs>
      <w:spacing w:before="240" w:after="240" w:line="240" w:lineRule="auto"/>
      <w:jc w:val="center"/>
      <w:outlineLvl w:val="0"/>
    </w:pPr>
    <w:rPr>
      <w:rFonts w:cs="Verdana"/>
      <w:b/>
      <w:bCs/>
      <w:caps/>
      <w:snapToGrid w:val="0"/>
    </w:rPr>
  </w:style>
  <w:style w:type="paragraph" w:styleId="Ttulo2">
    <w:name w:val="heading 2"/>
    <w:basedOn w:val="Normal"/>
    <w:next w:val="Normal"/>
    <w:link w:val="Ttulo2Car"/>
    <w:uiPriority w:val="9"/>
    <w:unhideWhenUsed/>
    <w:qFormat/>
    <w:rsid w:val="00467516"/>
    <w:pPr>
      <w:keepNext/>
      <w:keepLines/>
      <w:tabs>
        <w:tab w:val="left" w:pos="1134"/>
      </w:tabs>
      <w:spacing w:before="240" w:after="240" w:line="240" w:lineRule="auto"/>
      <w:ind w:left="562"/>
      <w:outlineLvl w:val="1"/>
    </w:pPr>
    <w:rPr>
      <w:rFonts w:eastAsia="MS Mincho"/>
      <w:b/>
      <w:bCs/>
      <w:i/>
    </w:rPr>
  </w:style>
  <w:style w:type="paragraph" w:styleId="Ttulo3">
    <w:name w:val="heading 3"/>
    <w:basedOn w:val="Ttulo2"/>
    <w:next w:val="Normal"/>
    <w:link w:val="Ttulo3Car"/>
    <w:uiPriority w:val="9"/>
    <w:unhideWhenUsed/>
    <w:qFormat/>
    <w:rsid w:val="00F94D74"/>
    <w:pPr>
      <w:ind w:left="1170"/>
      <w:outlineLvl w:val="2"/>
    </w:pPr>
    <w:rPr>
      <w:rFonts w:eastAsia="Verdana" w:cs="Verdana"/>
      <w:b w:val="0"/>
    </w:rPr>
  </w:style>
  <w:style w:type="paragraph" w:styleId="Ttulo4">
    <w:name w:val="heading 4"/>
    <w:basedOn w:val="Normal"/>
    <w:next w:val="Normal"/>
    <w:link w:val="Ttulo4Car"/>
    <w:uiPriority w:val="9"/>
    <w:unhideWhenUsed/>
    <w:qFormat/>
    <w:rsid w:val="001B6BB6"/>
    <w:pPr>
      <w:spacing w:before="240" w:after="240"/>
      <w:outlineLvl w:val="3"/>
    </w:pPr>
    <w:rPr>
      <w:rFonts w:eastAsiaTheme="minorHAnsi"/>
      <w:i/>
      <w:lang w:eastAsia="en-US"/>
    </w:rPr>
  </w:style>
  <w:style w:type="paragraph" w:styleId="Ttulo5">
    <w:name w:val="heading 5"/>
    <w:basedOn w:val="Normal"/>
    <w:next w:val="Normal"/>
    <w:link w:val="Ttulo5Car"/>
    <w:uiPriority w:val="9"/>
    <w:semiHidden/>
    <w:unhideWhenUsed/>
    <w:qFormat/>
    <w:rsid w:val="00467516"/>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Ttulo5"/>
    <w:next w:val="Normal"/>
    <w:link w:val="Ttulo6Car"/>
    <w:uiPriority w:val="9"/>
    <w:unhideWhenUsed/>
    <w:qFormat/>
    <w:rsid w:val="00467516"/>
    <w:pPr>
      <w:keepNext w:val="0"/>
      <w:keepLines w:val="0"/>
      <w:widowControl/>
      <w:tabs>
        <w:tab w:val="num" w:pos="3600"/>
      </w:tabs>
      <w:adjustRightInd/>
      <w:spacing w:before="0" w:line="240" w:lineRule="auto"/>
      <w:ind w:left="3600" w:hanging="360"/>
      <w:textAlignment w:val="auto"/>
      <w:outlineLvl w:val="5"/>
    </w:pPr>
    <w:rPr>
      <w:rFonts w:ascii="Verdana" w:eastAsia="Times New Roman" w:hAnsi="Verdana" w:cs="Times New Roman"/>
      <w:color w:val="auto"/>
      <w:spacing w:val="-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0568E"/>
    <w:rPr>
      <w:rFonts w:ascii="Verdana" w:eastAsia="Times New Roman" w:hAnsi="Verdana" w:cs="Verdana"/>
      <w:b/>
      <w:bCs/>
      <w:caps/>
      <w:snapToGrid w:val="0"/>
      <w:sz w:val="20"/>
      <w:szCs w:val="20"/>
      <w:lang w:val="es-CR" w:eastAsia="es-CR"/>
    </w:rPr>
  </w:style>
  <w:style w:type="character" w:customStyle="1" w:styleId="Ttulo2Car">
    <w:name w:val="Título 2 Car"/>
    <w:basedOn w:val="Fuentedeprrafopredeter"/>
    <w:link w:val="Ttulo2"/>
    <w:uiPriority w:val="9"/>
    <w:rsid w:val="00467516"/>
    <w:rPr>
      <w:rFonts w:ascii="Verdana" w:eastAsia="MS Mincho" w:hAnsi="Verdana" w:cs="Times New Roman"/>
      <w:b/>
      <w:bCs/>
      <w:i/>
      <w:sz w:val="20"/>
      <w:szCs w:val="20"/>
      <w:lang w:val="es-CR" w:eastAsia="es-CR"/>
    </w:rPr>
  </w:style>
  <w:style w:type="character" w:customStyle="1" w:styleId="Ttulo3Car">
    <w:name w:val="Título 3 Car"/>
    <w:basedOn w:val="Fuentedeprrafopredeter"/>
    <w:link w:val="Ttulo3"/>
    <w:uiPriority w:val="9"/>
    <w:rsid w:val="00F94D74"/>
    <w:rPr>
      <w:rFonts w:ascii="Verdana" w:eastAsia="Verdana" w:hAnsi="Verdana" w:cs="Verdana"/>
      <w:bCs/>
      <w:i/>
      <w:sz w:val="20"/>
      <w:szCs w:val="20"/>
      <w:lang w:val="es-CR" w:eastAsia="es-CR"/>
    </w:rPr>
  </w:style>
  <w:style w:type="character" w:customStyle="1" w:styleId="Ttulo4Car">
    <w:name w:val="Título 4 Car"/>
    <w:basedOn w:val="Fuentedeprrafopredeter"/>
    <w:link w:val="Ttulo4"/>
    <w:uiPriority w:val="9"/>
    <w:rsid w:val="001B6BB6"/>
    <w:rPr>
      <w:rFonts w:ascii="Verdana" w:hAnsi="Verdana" w:cs="Times New Roman"/>
      <w:i/>
      <w:sz w:val="20"/>
      <w:szCs w:val="20"/>
      <w:lang w:val="es-CR"/>
    </w:rPr>
  </w:style>
  <w:style w:type="character" w:customStyle="1" w:styleId="Ttulo5Car">
    <w:name w:val="Título 5 Car"/>
    <w:basedOn w:val="Fuentedeprrafopredeter"/>
    <w:link w:val="Ttulo5"/>
    <w:uiPriority w:val="9"/>
    <w:semiHidden/>
    <w:rsid w:val="00467516"/>
    <w:rPr>
      <w:rFonts w:asciiTheme="majorHAnsi" w:eastAsiaTheme="majorEastAsia" w:hAnsiTheme="majorHAnsi" w:cstheme="majorBidi"/>
      <w:color w:val="1F4D78" w:themeColor="accent1" w:themeShade="7F"/>
      <w:sz w:val="24"/>
      <w:szCs w:val="24"/>
      <w:lang w:val="es-CR" w:eastAsia="es-CR"/>
    </w:rPr>
  </w:style>
  <w:style w:type="character" w:customStyle="1" w:styleId="Ttulo6Car">
    <w:name w:val="Título 6 Car"/>
    <w:basedOn w:val="Fuentedeprrafopredeter"/>
    <w:link w:val="Ttulo6"/>
    <w:uiPriority w:val="9"/>
    <w:rsid w:val="00467516"/>
    <w:rPr>
      <w:rFonts w:ascii="Verdana" w:eastAsia="Times New Roman" w:hAnsi="Verdana" w:cs="Times New Roman"/>
      <w:spacing w:val="-2"/>
      <w:sz w:val="20"/>
      <w:szCs w:val="20"/>
      <w:lang w:val="es-ES_tradnl" w:eastAsia="es-CR"/>
    </w:rPr>
  </w:style>
  <w:style w:type="character" w:styleId="Refdenotaalpie">
    <w:name w:val="footnote reference"/>
    <w:aliases w:val="Appel note de bas de page,Footnotes refss,Footnote number,referencia nota al pie,BVI fnr,f,4_G,16 Point,Superscript 6 Point,Texto nota al pie,Footnote Reference Char3,Footnote Reference Char1 Char,Ref. de nota al,Ref. de nota al pi"/>
    <w:link w:val="4GChar"/>
    <w:uiPriority w:val="99"/>
    <w:qFormat/>
    <w:rsid w:val="0046751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Ca,FA Fu?notentext,C,ft"/>
    <w:basedOn w:val="Normal"/>
    <w:link w:val="TextonotapieCar"/>
    <w:uiPriority w:val="99"/>
    <w:qFormat/>
    <w:rsid w:val="00467516"/>
    <w:pPr>
      <w:spacing w:line="240" w:lineRule="auto"/>
    </w:pPr>
    <w:rPr>
      <w:lang w:val="es-ES_tradnl" w:eastAsia="x-non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 Car,Ca Car"/>
    <w:basedOn w:val="Fuentedeprrafopredeter"/>
    <w:link w:val="Textonotapie"/>
    <w:uiPriority w:val="99"/>
    <w:qFormat/>
    <w:rsid w:val="00467516"/>
    <w:rPr>
      <w:rFonts w:ascii="Verdana" w:eastAsia="Times New Roman" w:hAnsi="Verdana" w:cs="Times New Roman"/>
      <w:sz w:val="20"/>
      <w:szCs w:val="20"/>
      <w:lang w:val="es-ES_tradnl" w:eastAsia="x-none"/>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467516"/>
    <w:pPr>
      <w:widowControl/>
      <w:adjustRightInd/>
      <w:spacing w:line="240" w:lineRule="auto"/>
      <w:textAlignment w:val="auto"/>
    </w:pPr>
    <w:rPr>
      <w:rFonts w:asciiTheme="minorHAnsi" w:eastAsiaTheme="minorHAnsi" w:hAnsiTheme="minorHAnsi" w:cstheme="minorBidi"/>
      <w:sz w:val="22"/>
      <w:szCs w:val="22"/>
      <w:vertAlign w:val="superscript"/>
      <w:lang w:val="en-US" w:eastAsia="en-US"/>
    </w:rPr>
  </w:style>
  <w:style w:type="character" w:styleId="Nmerodelnea">
    <w:name w:val="line number"/>
    <w:basedOn w:val="Fuentedeprrafopredeter"/>
    <w:uiPriority w:val="99"/>
    <w:semiHidden/>
    <w:unhideWhenUsed/>
    <w:rsid w:val="00467516"/>
  </w:style>
  <w:style w:type="paragraph" w:styleId="Encabezado">
    <w:name w:val="header"/>
    <w:basedOn w:val="Normal"/>
    <w:link w:val="EncabezadoCar"/>
    <w:uiPriority w:val="99"/>
    <w:unhideWhenUsed/>
    <w:rsid w:val="00467516"/>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67516"/>
    <w:rPr>
      <w:rFonts w:ascii="Verdana" w:eastAsia="Times New Roman" w:hAnsi="Verdana" w:cs="Times New Roman"/>
      <w:sz w:val="24"/>
      <w:szCs w:val="24"/>
      <w:lang w:val="es-CR" w:eastAsia="es-CR"/>
    </w:rPr>
  </w:style>
  <w:style w:type="paragraph" w:styleId="Piedepgina">
    <w:name w:val="footer"/>
    <w:basedOn w:val="Normal"/>
    <w:link w:val="PiedepginaCar"/>
    <w:uiPriority w:val="99"/>
    <w:unhideWhenUsed/>
    <w:rsid w:val="00467516"/>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67516"/>
    <w:rPr>
      <w:rFonts w:ascii="Verdana" w:eastAsia="Times New Roman" w:hAnsi="Verdana" w:cs="Times New Roman"/>
      <w:sz w:val="24"/>
      <w:szCs w:val="24"/>
      <w:lang w:val="es-CR" w:eastAsia="es-CR"/>
    </w:rPr>
  </w:style>
  <w:style w:type="paragraph" w:styleId="Prrafodelista">
    <w:name w:val="List Paragraph"/>
    <w:aliases w:val="List Paragraph2,Lista vistosa - Énfasis 11,Párrafo de lista1,Footnote,List Paragraph1,Colorful List - Accent 11,Parrafos,Subtle Emphasis1,Footnote1,List Paragraph11"/>
    <w:basedOn w:val="Normal"/>
    <w:link w:val="PrrafodelistaCar"/>
    <w:qFormat/>
    <w:rsid w:val="00467516"/>
    <w:pPr>
      <w:ind w:left="708"/>
    </w:pPr>
  </w:style>
  <w:style w:type="character" w:customStyle="1" w:styleId="PrrafodelistaCar">
    <w:name w:val="Párrafo de lista Car"/>
    <w:aliases w:val="List Paragraph2 Car,Lista vistosa - Énfasis 11 Car,Párrafo de lista1 Car,Footnote Car,List Paragraph1 Car,Colorful List - Accent 11 Car,Parrafos Car,Subtle Emphasis1 Car,Footnote1 Car,List Paragraph11 Car"/>
    <w:basedOn w:val="Fuentedeprrafopredeter"/>
    <w:link w:val="Prrafodelista"/>
    <w:rsid w:val="00467516"/>
    <w:rPr>
      <w:rFonts w:ascii="Verdana" w:eastAsia="Times New Roman" w:hAnsi="Verdana" w:cs="Times New Roman"/>
      <w:sz w:val="24"/>
      <w:szCs w:val="24"/>
      <w:lang w:val="es-CR" w:eastAsia="es-CR"/>
    </w:rPr>
  </w:style>
  <w:style w:type="character" w:styleId="Textoennegrita">
    <w:name w:val="Strong"/>
    <w:aliases w:val="Heading 2.1"/>
    <w:basedOn w:val="Fuentedeprrafopredeter"/>
    <w:uiPriority w:val="22"/>
    <w:qFormat/>
    <w:rsid w:val="00467516"/>
    <w:rPr>
      <w:b/>
      <w:bCs/>
    </w:rPr>
  </w:style>
  <w:style w:type="paragraph" w:styleId="NormalWeb">
    <w:name w:val="Normal (Web)"/>
    <w:aliases w:val="Normal (Web) Char1,Normal (Web) Char Char,Normal (Web) Char1 Char,Normal (Web) Char Char Char"/>
    <w:basedOn w:val="Normal"/>
    <w:uiPriority w:val="99"/>
    <w:unhideWhenUsed/>
    <w:rsid w:val="00467516"/>
    <w:rPr>
      <w:rFonts w:ascii="Times New Roman" w:hAnsi="Times New Roman"/>
    </w:rPr>
  </w:style>
  <w:style w:type="character" w:customStyle="1" w:styleId="apple-converted-space">
    <w:name w:val="apple-converted-space"/>
    <w:basedOn w:val="Fuentedeprrafopredeter"/>
    <w:rsid w:val="00467516"/>
  </w:style>
  <w:style w:type="character" w:styleId="Hipervnculo">
    <w:name w:val="Hyperlink"/>
    <w:basedOn w:val="Fuentedeprrafopredeter"/>
    <w:uiPriority w:val="99"/>
    <w:unhideWhenUsed/>
    <w:rsid w:val="00467516"/>
    <w:rPr>
      <w:color w:val="0563C1" w:themeColor="hyperlink"/>
      <w:u w:val="single"/>
    </w:rPr>
  </w:style>
  <w:style w:type="paragraph" w:styleId="Encabezadodetabladecontenido">
    <w:name w:val="TOC Heading"/>
    <w:basedOn w:val="Ttulo1"/>
    <w:next w:val="Normal"/>
    <w:uiPriority w:val="39"/>
    <w:unhideWhenUsed/>
    <w:qFormat/>
    <w:rsid w:val="00467516"/>
    <w:pPr>
      <w:widowControl/>
      <w:adjustRightInd/>
      <w:spacing w:line="276" w:lineRule="auto"/>
      <w:jc w:val="left"/>
      <w:textAlignment w:val="auto"/>
      <w:outlineLvl w:val="9"/>
    </w:pPr>
    <w:rPr>
      <w:lang w:val="en-US" w:eastAsia="ja-JP"/>
    </w:rPr>
  </w:style>
  <w:style w:type="paragraph" w:styleId="TDC1">
    <w:name w:val="toc 1"/>
    <w:basedOn w:val="Normal"/>
    <w:next w:val="Normal"/>
    <w:autoRedefine/>
    <w:uiPriority w:val="39"/>
    <w:unhideWhenUsed/>
    <w:rsid w:val="00467516"/>
    <w:pPr>
      <w:tabs>
        <w:tab w:val="right" w:leader="dot" w:pos="10070"/>
      </w:tabs>
      <w:spacing w:before="120" w:after="120" w:line="240" w:lineRule="auto"/>
    </w:pPr>
    <w:rPr>
      <w:rFonts w:eastAsia="MS Mincho"/>
      <w:b/>
      <w:noProof/>
    </w:rPr>
  </w:style>
  <w:style w:type="paragraph" w:styleId="TDC2">
    <w:name w:val="toc 2"/>
    <w:basedOn w:val="Normal"/>
    <w:next w:val="Normal"/>
    <w:autoRedefine/>
    <w:uiPriority w:val="39"/>
    <w:unhideWhenUsed/>
    <w:rsid w:val="00467516"/>
    <w:pPr>
      <w:tabs>
        <w:tab w:val="left" w:pos="450"/>
        <w:tab w:val="left" w:pos="630"/>
        <w:tab w:val="right" w:leader="dot" w:pos="10070"/>
      </w:tabs>
      <w:spacing w:line="240" w:lineRule="auto"/>
      <w:ind w:left="240"/>
    </w:pPr>
  </w:style>
  <w:style w:type="paragraph" w:styleId="Textodeglobo">
    <w:name w:val="Balloon Text"/>
    <w:basedOn w:val="Normal"/>
    <w:link w:val="TextodegloboCar"/>
    <w:uiPriority w:val="99"/>
    <w:semiHidden/>
    <w:unhideWhenUsed/>
    <w:rsid w:val="00467516"/>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67516"/>
    <w:rPr>
      <w:rFonts w:ascii="Tahoma" w:eastAsia="Times New Roman" w:hAnsi="Tahoma" w:cs="Tahoma"/>
      <w:sz w:val="16"/>
      <w:szCs w:val="16"/>
      <w:lang w:val="es-CR" w:eastAsia="es-CR"/>
    </w:rPr>
  </w:style>
  <w:style w:type="table" w:styleId="Tablaconcuadrcula">
    <w:name w:val="Table Grid"/>
    <w:basedOn w:val="Tablanormal"/>
    <w:uiPriority w:val="59"/>
    <w:rsid w:val="00467516"/>
    <w:pPr>
      <w:spacing w:after="0" w:line="240" w:lineRule="auto"/>
    </w:pPr>
    <w:rPr>
      <w:lang w:val="es-C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Sinlista"/>
    <w:uiPriority w:val="99"/>
    <w:semiHidden/>
    <w:unhideWhenUsed/>
    <w:rsid w:val="00467516"/>
  </w:style>
  <w:style w:type="character" w:styleId="Refdecomentario">
    <w:name w:val="annotation reference"/>
    <w:basedOn w:val="Fuentedeprrafopredeter"/>
    <w:uiPriority w:val="99"/>
    <w:semiHidden/>
    <w:unhideWhenUsed/>
    <w:rsid w:val="00467516"/>
    <w:rPr>
      <w:sz w:val="16"/>
      <w:szCs w:val="16"/>
    </w:rPr>
  </w:style>
  <w:style w:type="paragraph" w:styleId="Textocomentario">
    <w:name w:val="annotation text"/>
    <w:basedOn w:val="Normal"/>
    <w:link w:val="TextocomentarioCar"/>
    <w:uiPriority w:val="99"/>
    <w:unhideWhenUsed/>
    <w:rsid w:val="00467516"/>
    <w:pPr>
      <w:widowControl/>
      <w:adjustRightInd/>
      <w:spacing w:after="200" w:line="240" w:lineRule="auto"/>
      <w:jc w:val="left"/>
      <w:textAlignment w:val="auto"/>
    </w:pPr>
    <w:rPr>
      <w:rFonts w:asciiTheme="minorHAnsi" w:eastAsiaTheme="minorHAnsi" w:hAnsiTheme="minorHAnsi" w:cstheme="minorBidi"/>
      <w:lang w:eastAsia="en-US"/>
    </w:rPr>
  </w:style>
  <w:style w:type="character" w:customStyle="1" w:styleId="TextocomentarioCar">
    <w:name w:val="Texto comentario Car"/>
    <w:basedOn w:val="Fuentedeprrafopredeter"/>
    <w:link w:val="Textocomentario"/>
    <w:uiPriority w:val="99"/>
    <w:rsid w:val="00467516"/>
    <w:rPr>
      <w:sz w:val="20"/>
      <w:szCs w:val="20"/>
      <w:lang w:val="es-CR"/>
    </w:rPr>
  </w:style>
  <w:style w:type="paragraph" w:styleId="Asuntodelcomentario">
    <w:name w:val="annotation subject"/>
    <w:basedOn w:val="Textocomentario"/>
    <w:next w:val="Textocomentario"/>
    <w:link w:val="AsuntodelcomentarioCar"/>
    <w:uiPriority w:val="99"/>
    <w:semiHidden/>
    <w:unhideWhenUsed/>
    <w:rsid w:val="00467516"/>
    <w:rPr>
      <w:b/>
      <w:bCs/>
    </w:rPr>
  </w:style>
  <w:style w:type="character" w:customStyle="1" w:styleId="AsuntodelcomentarioCar">
    <w:name w:val="Asunto del comentario Car"/>
    <w:basedOn w:val="TextocomentarioCar"/>
    <w:link w:val="Asuntodelcomentario"/>
    <w:uiPriority w:val="99"/>
    <w:semiHidden/>
    <w:rsid w:val="00467516"/>
    <w:rPr>
      <w:b/>
      <w:bCs/>
      <w:sz w:val="20"/>
      <w:szCs w:val="20"/>
      <w:lang w:val="es-CR"/>
    </w:rPr>
  </w:style>
  <w:style w:type="character" w:customStyle="1" w:styleId="ListParagraphChar1">
    <w:name w:val="List Paragraph Char1"/>
    <w:aliases w:val="List Paragraph2 Char1,Lista vistosa - Énfasis 11 Char1,Párrafo de lista1 Char1,Footnote Char1,List Paragraph1 Char1"/>
    <w:basedOn w:val="Fuentedeprrafopredeter"/>
    <w:uiPriority w:val="34"/>
    <w:rsid w:val="00467516"/>
    <w:rPr>
      <w:rFonts w:ascii="Verdana" w:eastAsia="Times New Roman" w:hAnsi="Verdana" w:cs="Times New Roman"/>
      <w:sz w:val="24"/>
      <w:szCs w:val="24"/>
      <w:lang w:eastAsia="es-CR"/>
    </w:rPr>
  </w:style>
  <w:style w:type="paragraph" w:customStyle="1" w:styleId="Default">
    <w:name w:val="Default"/>
    <w:rsid w:val="00467516"/>
    <w:pPr>
      <w:autoSpaceDE w:val="0"/>
      <w:autoSpaceDN w:val="0"/>
      <w:adjustRightInd w:val="0"/>
      <w:spacing w:after="0" w:line="240" w:lineRule="auto"/>
    </w:pPr>
    <w:rPr>
      <w:rFonts w:ascii="Verdana" w:hAnsi="Verdana" w:cs="Verdana"/>
      <w:color w:val="000000"/>
      <w:sz w:val="24"/>
      <w:szCs w:val="24"/>
      <w:lang w:val="es-CR"/>
    </w:rPr>
  </w:style>
  <w:style w:type="paragraph" w:customStyle="1" w:styleId="PrrafodeSentencia">
    <w:name w:val="*. Párrafo de Sentencia"/>
    <w:basedOn w:val="Normal"/>
    <w:link w:val="PrrafodeSentenciaChar"/>
    <w:qFormat/>
    <w:rsid w:val="00467516"/>
    <w:pPr>
      <w:widowControl/>
      <w:numPr>
        <w:numId w:val="1"/>
      </w:numPr>
      <w:tabs>
        <w:tab w:val="left" w:pos="567"/>
      </w:tabs>
      <w:adjustRightInd/>
      <w:spacing w:line="240" w:lineRule="auto"/>
      <w:textAlignment w:val="auto"/>
    </w:pPr>
    <w:rPr>
      <w:rFonts w:eastAsia="Batang"/>
      <w:lang w:val="es-ES_tradnl" w:eastAsia="es-MX"/>
    </w:rPr>
  </w:style>
  <w:style w:type="character" w:customStyle="1" w:styleId="PrrafodeSentenciaChar">
    <w:name w:val="*. Párrafo de Sentencia Char"/>
    <w:link w:val="PrrafodeSentencia"/>
    <w:rsid w:val="00467516"/>
    <w:rPr>
      <w:rFonts w:ascii="Verdana" w:eastAsia="Batang" w:hAnsi="Verdana" w:cs="Times New Roman"/>
      <w:sz w:val="20"/>
      <w:szCs w:val="20"/>
      <w:lang w:val="es-ES_tradnl" w:eastAsia="es-MX"/>
    </w:rPr>
  </w:style>
  <w:style w:type="character" w:customStyle="1" w:styleId="shorttext">
    <w:name w:val="shorttext"/>
    <w:basedOn w:val="Fuentedeprrafopredeter"/>
    <w:rsid w:val="00467516"/>
  </w:style>
  <w:style w:type="paragraph" w:customStyle="1" w:styleId="Estilo4">
    <w:name w:val="Estilo4"/>
    <w:basedOn w:val="Prrafodelista"/>
    <w:qFormat/>
    <w:rsid w:val="00467516"/>
    <w:pPr>
      <w:widowControl/>
      <w:numPr>
        <w:ilvl w:val="1"/>
        <w:numId w:val="2"/>
      </w:numPr>
      <w:adjustRightInd/>
      <w:spacing w:after="120" w:line="240" w:lineRule="auto"/>
      <w:ind w:left="0" w:firstLine="357"/>
      <w:textAlignment w:val="auto"/>
    </w:pPr>
    <w:rPr>
      <w:spacing w:val="-2"/>
      <w:lang w:eastAsia="en-US"/>
    </w:rPr>
  </w:style>
  <w:style w:type="paragraph" w:customStyle="1" w:styleId="Numberedparagraphs">
    <w:name w:val="Numbered paragraphs"/>
    <w:basedOn w:val="Normal"/>
    <w:qFormat/>
    <w:rsid w:val="00467516"/>
    <w:pPr>
      <w:widowControl/>
      <w:adjustRightInd/>
      <w:spacing w:after="200" w:line="240" w:lineRule="auto"/>
      <w:textAlignment w:val="auto"/>
    </w:pPr>
    <w:rPr>
      <w:rFonts w:eastAsia="MS Mincho"/>
      <w:color w:val="000000"/>
      <w:lang w:val="es-ES_tradnl" w:eastAsia="en-US"/>
    </w:rPr>
  </w:style>
  <w:style w:type="character" w:customStyle="1" w:styleId="FootnoteTextChar1">
    <w:name w:val="Footnote Text Char1"/>
    <w:aliases w:val="2. Footnote Text Char1,Footnote Tesina Char1,FA Fu Char2,Footnote Text Char Char Char Char Char Char2,Footnote Text Char Char Char Char Char3,Footnote reference Char2,Footnote Text Char Char Char Char3,Footnote Text Cha Char2,C Char1"/>
    <w:basedOn w:val="Fuentedeprrafopredeter"/>
    <w:uiPriority w:val="99"/>
    <w:qFormat/>
    <w:rsid w:val="00467516"/>
    <w:rPr>
      <w:sz w:val="20"/>
      <w:szCs w:val="20"/>
    </w:rPr>
  </w:style>
  <w:style w:type="character" w:customStyle="1" w:styleId="column">
    <w:name w:val="column"/>
    <w:basedOn w:val="Fuentedeprrafopredeter"/>
    <w:rsid w:val="00467516"/>
  </w:style>
  <w:style w:type="character" w:customStyle="1" w:styleId="summarytext">
    <w:name w:val="summarytext"/>
    <w:basedOn w:val="Fuentedeprrafopredeter"/>
    <w:rsid w:val="00467516"/>
  </w:style>
  <w:style w:type="character" w:customStyle="1" w:styleId="textcolumn">
    <w:name w:val="textcolumn"/>
    <w:basedOn w:val="Fuentedeprrafopredeter"/>
    <w:rsid w:val="00467516"/>
  </w:style>
  <w:style w:type="character" w:customStyle="1" w:styleId="more">
    <w:name w:val="more"/>
    <w:basedOn w:val="Fuentedeprrafopredeter"/>
    <w:rsid w:val="00467516"/>
  </w:style>
  <w:style w:type="paragraph" w:customStyle="1" w:styleId="FootnotesrefssChar1Char">
    <w:name w:val="Footnotes refss Char1 Char"/>
    <w:aliases w:val="Texto de nota al pie Char1 Char,Appel note de bas de page Char1 Char,Footnote number Char1 Char,referencia nota al pie Char1 Char,BVI fnr Char1 Char,f Char1 Char,4_G Char1 Char,16 Point Char1 Char"/>
    <w:basedOn w:val="Normal"/>
    <w:uiPriority w:val="99"/>
    <w:qFormat/>
    <w:rsid w:val="00467516"/>
    <w:pPr>
      <w:widowControl/>
      <w:adjustRightInd/>
      <w:spacing w:after="160" w:line="240" w:lineRule="exact"/>
      <w:jc w:val="left"/>
      <w:textAlignment w:val="auto"/>
    </w:pPr>
    <w:rPr>
      <w:rFonts w:eastAsiaTheme="minorHAnsi" w:cstheme="minorBidi"/>
      <w:vertAlign w:val="superscript"/>
      <w:lang w:eastAsia="en-US"/>
    </w:rPr>
  </w:style>
  <w:style w:type="paragraph" w:styleId="Sinespaciado">
    <w:name w:val="No Spacing"/>
    <w:link w:val="SinespaciadoCar"/>
    <w:uiPriority w:val="1"/>
    <w:qFormat/>
    <w:rsid w:val="00467516"/>
    <w:pPr>
      <w:spacing w:after="0" w:line="240" w:lineRule="auto"/>
    </w:pPr>
    <w:rPr>
      <w:lang w:val="es-CR"/>
    </w:rPr>
  </w:style>
  <w:style w:type="character" w:customStyle="1" w:styleId="SinespaciadoCar">
    <w:name w:val="Sin espaciado Car"/>
    <w:basedOn w:val="Fuentedeprrafopredeter"/>
    <w:link w:val="Sinespaciado"/>
    <w:uiPriority w:val="1"/>
    <w:rsid w:val="00467516"/>
    <w:rPr>
      <w:lang w:val="es-CR"/>
    </w:rPr>
  </w:style>
  <w:style w:type="paragraph" w:styleId="Textodecuerpo3">
    <w:name w:val="Body Text 3"/>
    <w:basedOn w:val="Normal"/>
    <w:link w:val="Textodecuerpo3Car"/>
    <w:rsid w:val="00467516"/>
    <w:pPr>
      <w:widowControl/>
      <w:adjustRightInd/>
      <w:spacing w:after="120" w:line="240" w:lineRule="auto"/>
      <w:jc w:val="left"/>
      <w:textAlignment w:val="auto"/>
    </w:pPr>
    <w:rPr>
      <w:rFonts w:ascii="Times New Roman" w:hAnsi="Times New Roman"/>
      <w:sz w:val="16"/>
      <w:szCs w:val="16"/>
      <w:lang w:val="es-ES_tradnl" w:eastAsia="es-ES"/>
    </w:rPr>
  </w:style>
  <w:style w:type="character" w:customStyle="1" w:styleId="Textodecuerpo3Car">
    <w:name w:val="Texto de cuerpo 3 Car"/>
    <w:basedOn w:val="Fuentedeprrafopredeter"/>
    <w:link w:val="Textodecuerpo3"/>
    <w:rsid w:val="00467516"/>
    <w:rPr>
      <w:rFonts w:ascii="Times New Roman" w:eastAsia="Times New Roman" w:hAnsi="Times New Roman" w:cs="Times New Roman"/>
      <w:sz w:val="16"/>
      <w:szCs w:val="16"/>
      <w:lang w:val="es-ES_tradnl" w:eastAsia="es-ES"/>
    </w:rPr>
  </w:style>
  <w:style w:type="paragraph" w:styleId="Sangra2detdecuerpo">
    <w:name w:val="Body Text Indent 2"/>
    <w:basedOn w:val="Normal"/>
    <w:link w:val="Sangra2detdecuerpoCar"/>
    <w:uiPriority w:val="99"/>
    <w:semiHidden/>
    <w:unhideWhenUsed/>
    <w:rsid w:val="00467516"/>
    <w:pPr>
      <w:spacing w:after="120" w:line="480" w:lineRule="auto"/>
      <w:ind w:left="360"/>
    </w:pPr>
  </w:style>
  <w:style w:type="character" w:customStyle="1" w:styleId="Sangra2detdecuerpoCar">
    <w:name w:val="Sangría 2 de t. de cuerpo Car"/>
    <w:basedOn w:val="Fuentedeprrafopredeter"/>
    <w:link w:val="Sangra2detdecuerpo"/>
    <w:uiPriority w:val="99"/>
    <w:semiHidden/>
    <w:rsid w:val="00467516"/>
    <w:rPr>
      <w:rFonts w:ascii="Verdana" w:eastAsia="Times New Roman" w:hAnsi="Verdana" w:cs="Times New Roman"/>
      <w:sz w:val="24"/>
      <w:szCs w:val="24"/>
      <w:lang w:val="es-CR" w:eastAsia="es-CR"/>
    </w:rPr>
  </w:style>
  <w:style w:type="paragraph" w:customStyle="1" w:styleId="Normal1">
    <w:name w:val="Normal1"/>
    <w:rsid w:val="00467516"/>
    <w:pPr>
      <w:widowControl w:val="0"/>
      <w:spacing w:after="0" w:line="240" w:lineRule="auto"/>
    </w:pPr>
    <w:rPr>
      <w:rFonts w:ascii="Times New Roman" w:eastAsia="Times New Roman" w:hAnsi="Times New Roman" w:cs="Times New Roman"/>
      <w:sz w:val="24"/>
      <w:szCs w:val="24"/>
      <w:lang w:val="es-CR"/>
    </w:rPr>
  </w:style>
  <w:style w:type="paragraph" w:styleId="Textodebloque">
    <w:name w:val="Block Text"/>
    <w:basedOn w:val="Normal"/>
    <w:rsid w:val="00467516"/>
    <w:pPr>
      <w:widowControl/>
      <w:tabs>
        <w:tab w:val="left" w:pos="720"/>
      </w:tabs>
      <w:adjustRightInd/>
      <w:spacing w:line="240" w:lineRule="auto"/>
      <w:ind w:left="720" w:right="720"/>
      <w:textAlignment w:val="auto"/>
    </w:pPr>
    <w:rPr>
      <w:rFonts w:ascii="Garamond" w:hAnsi="Garamond"/>
      <w:sz w:val="22"/>
      <w:lang w:val="en-GB" w:eastAsia="en-US"/>
    </w:rPr>
  </w:style>
  <w:style w:type="table" w:customStyle="1" w:styleId="GridTable5Dark-Accent11">
    <w:name w:val="Grid Table 5 Dark - Accent 11"/>
    <w:basedOn w:val="Tablanormal"/>
    <w:uiPriority w:val="50"/>
    <w:rsid w:val="00467516"/>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Mencinsinresolver1">
    <w:name w:val="Mención sin resolver1"/>
    <w:basedOn w:val="Fuentedeprrafopredeter"/>
    <w:uiPriority w:val="99"/>
    <w:semiHidden/>
    <w:unhideWhenUsed/>
    <w:rsid w:val="00467516"/>
    <w:rPr>
      <w:color w:val="605E5C"/>
      <w:shd w:val="clear" w:color="auto" w:fill="E1DFDD"/>
    </w:rPr>
  </w:style>
  <w:style w:type="character" w:customStyle="1" w:styleId="highlight">
    <w:name w:val="highlight"/>
    <w:basedOn w:val="Fuentedeprrafopredeter"/>
    <w:rsid w:val="00467516"/>
  </w:style>
  <w:style w:type="paragraph" w:customStyle="1" w:styleId="Prrafodelista2">
    <w:name w:val="Párrafo de lista2"/>
    <w:basedOn w:val="Normal"/>
    <w:uiPriority w:val="99"/>
    <w:rsid w:val="00467516"/>
    <w:pPr>
      <w:widowControl/>
      <w:adjustRightInd/>
      <w:spacing w:line="240" w:lineRule="auto"/>
      <w:ind w:left="720"/>
      <w:jc w:val="left"/>
      <w:textAlignment w:val="auto"/>
    </w:pPr>
    <w:rPr>
      <w:rFonts w:eastAsia="MS Mincho"/>
      <w:lang w:val="es-ES_tradnl" w:eastAsia="en-US"/>
    </w:rPr>
  </w:style>
  <w:style w:type="paragraph" w:styleId="TDC3">
    <w:name w:val="toc 3"/>
    <w:basedOn w:val="Normal"/>
    <w:next w:val="Normal"/>
    <w:autoRedefine/>
    <w:uiPriority w:val="39"/>
    <w:unhideWhenUsed/>
    <w:rsid w:val="00467516"/>
    <w:pPr>
      <w:tabs>
        <w:tab w:val="left" w:pos="1080"/>
        <w:tab w:val="left" w:pos="1260"/>
        <w:tab w:val="left" w:pos="1440"/>
        <w:tab w:val="left" w:pos="1530"/>
        <w:tab w:val="right" w:leader="dot" w:pos="10070"/>
      </w:tabs>
      <w:spacing w:line="240" w:lineRule="auto"/>
      <w:ind w:left="1080" w:hanging="270"/>
    </w:pPr>
  </w:style>
  <w:style w:type="paragraph" w:customStyle="1" w:styleId="Estilo1">
    <w:name w:val="Estilo1"/>
    <w:basedOn w:val="Normal"/>
    <w:link w:val="Estilo1Car"/>
    <w:qFormat/>
    <w:rsid w:val="00467516"/>
    <w:pPr>
      <w:widowControl/>
      <w:adjustRightInd/>
      <w:spacing w:after="120" w:line="240" w:lineRule="auto"/>
      <w:ind w:left="2018" w:right="6" w:hanging="180"/>
      <w:textAlignment w:val="auto"/>
    </w:pPr>
    <w:rPr>
      <w:rFonts w:eastAsia="Batang" w:cs="Times"/>
      <w:i/>
      <w:lang w:val="es-ES_tradnl" w:eastAsia="en-US"/>
    </w:rPr>
  </w:style>
  <w:style w:type="character" w:customStyle="1" w:styleId="Estilo1Car">
    <w:name w:val="Estilo1 Car"/>
    <w:basedOn w:val="Fuentedeprrafopredeter"/>
    <w:link w:val="Estilo1"/>
    <w:rsid w:val="00467516"/>
    <w:rPr>
      <w:rFonts w:ascii="Verdana" w:eastAsia="Batang" w:hAnsi="Verdana" w:cs="Times"/>
      <w:i/>
      <w:sz w:val="20"/>
      <w:szCs w:val="24"/>
      <w:lang w:val="es-ES_tradnl"/>
    </w:rPr>
  </w:style>
  <w:style w:type="numbering" w:customStyle="1" w:styleId="ImportedStyle1">
    <w:name w:val="Imported Style 1"/>
    <w:rsid w:val="00467516"/>
    <w:pPr>
      <w:numPr>
        <w:numId w:val="5"/>
      </w:numPr>
    </w:pPr>
  </w:style>
  <w:style w:type="character" w:customStyle="1" w:styleId="fontstyle01">
    <w:name w:val="fontstyle01"/>
    <w:basedOn w:val="Fuentedeprrafopredeter"/>
    <w:rsid w:val="00467516"/>
    <w:rPr>
      <w:rFonts w:ascii="Arial" w:hAnsi="Arial" w:cs="Arial" w:hint="default"/>
      <w:b w:val="0"/>
      <w:bCs w:val="0"/>
      <w:i w:val="0"/>
      <w:iCs w:val="0"/>
      <w:color w:val="000000"/>
      <w:sz w:val="24"/>
      <w:szCs w:val="24"/>
    </w:rPr>
  </w:style>
  <w:style w:type="paragraph" w:styleId="Textodecuerpo2">
    <w:name w:val="Body Text 2"/>
    <w:basedOn w:val="Normal"/>
    <w:link w:val="Textodecuerpo2Car"/>
    <w:uiPriority w:val="99"/>
    <w:semiHidden/>
    <w:unhideWhenUsed/>
    <w:rsid w:val="00F83A85"/>
    <w:pPr>
      <w:spacing w:after="120" w:line="480" w:lineRule="auto"/>
    </w:pPr>
  </w:style>
  <w:style w:type="character" w:customStyle="1" w:styleId="Textodecuerpo2Car">
    <w:name w:val="Texto de cuerpo 2 Car"/>
    <w:basedOn w:val="Fuentedeprrafopredeter"/>
    <w:link w:val="Textodecuerpo2"/>
    <w:uiPriority w:val="99"/>
    <w:semiHidden/>
    <w:rsid w:val="00F83A85"/>
    <w:rPr>
      <w:rFonts w:ascii="Verdana" w:eastAsia="Times New Roman" w:hAnsi="Verdana" w:cs="Times New Roman"/>
      <w:sz w:val="24"/>
      <w:szCs w:val="24"/>
      <w:lang w:val="es-CR" w:eastAsia="es-CR"/>
    </w:rPr>
  </w:style>
  <w:style w:type="paragraph" w:customStyle="1" w:styleId="Textoindependiente2">
    <w:name w:val="Texto independiente2"/>
    <w:basedOn w:val="Normal"/>
    <w:rsid w:val="00F519EF"/>
    <w:pPr>
      <w:adjustRightInd/>
      <w:spacing w:line="240" w:lineRule="auto"/>
      <w:textAlignment w:val="auto"/>
    </w:pPr>
    <w:rPr>
      <w:rFonts w:ascii="Times" w:hAnsi="Times"/>
      <w:lang w:val="es-ES"/>
    </w:rPr>
  </w:style>
  <w:style w:type="paragraph" w:styleId="Textodecuerpo">
    <w:name w:val="Body Text"/>
    <w:basedOn w:val="Normal"/>
    <w:link w:val="TextodecuerpoCar"/>
    <w:uiPriority w:val="99"/>
    <w:semiHidden/>
    <w:unhideWhenUsed/>
    <w:rsid w:val="00EE16ED"/>
    <w:pPr>
      <w:spacing w:after="120"/>
    </w:pPr>
  </w:style>
  <w:style w:type="character" w:customStyle="1" w:styleId="TextodecuerpoCar">
    <w:name w:val="Texto de cuerpo Car"/>
    <w:basedOn w:val="Fuentedeprrafopredeter"/>
    <w:link w:val="Textodecuerpo"/>
    <w:uiPriority w:val="99"/>
    <w:semiHidden/>
    <w:rsid w:val="00EE16ED"/>
    <w:rPr>
      <w:rFonts w:ascii="Verdana" w:eastAsia="Times New Roman" w:hAnsi="Verdana" w:cs="Times New Roman"/>
      <w:sz w:val="24"/>
      <w:szCs w:val="24"/>
      <w:lang w:val="es-CR" w:eastAsia="es-CR"/>
    </w:rPr>
  </w:style>
  <w:style w:type="character" w:customStyle="1" w:styleId="fontstyle21">
    <w:name w:val="fontstyle21"/>
    <w:basedOn w:val="Fuentedeprrafopredeter"/>
    <w:rsid w:val="005B0504"/>
    <w:rPr>
      <w:rFonts w:ascii="Helvetica-Oblique" w:hAnsi="Helvetica-Oblique" w:hint="default"/>
      <w:b w:val="0"/>
      <w:bCs w:val="0"/>
      <w:i/>
      <w:iCs/>
      <w:color w:val="2B2B2B"/>
      <w:sz w:val="16"/>
      <w:szCs w:val="16"/>
    </w:rPr>
  </w:style>
  <w:style w:type="paragraph" w:customStyle="1" w:styleId="1">
    <w:name w:val="1"/>
    <w:basedOn w:val="Normal"/>
    <w:rsid w:val="003248AE"/>
    <w:pPr>
      <w:widowControl/>
      <w:adjustRightInd/>
      <w:spacing w:after="160" w:line="240" w:lineRule="exact"/>
      <w:jc w:val="left"/>
      <w:textAlignment w:val="auto"/>
    </w:pPr>
    <w:rPr>
      <w:sz w:val="16"/>
      <w:szCs w:val="22"/>
      <w:vertAlign w:val="superscript"/>
      <w:lang w:eastAsia="en-US"/>
    </w:rPr>
  </w:style>
  <w:style w:type="paragraph" w:customStyle="1" w:styleId="Heading71">
    <w:name w:val="Heading 71"/>
    <w:basedOn w:val="Normal"/>
    <w:rsid w:val="00075A44"/>
    <w:pPr>
      <w:numPr>
        <w:numId w:val="17"/>
      </w:numPr>
    </w:pPr>
    <w:rPr>
      <w:sz w:val="24"/>
      <w:szCs w:val="24"/>
    </w:rPr>
  </w:style>
  <w:style w:type="character" w:customStyle="1" w:styleId="apple-style-span">
    <w:name w:val="apple-style-span"/>
    <w:basedOn w:val="Fuentedeprrafopredeter"/>
    <w:rsid w:val="00E45960"/>
  </w:style>
  <w:style w:type="character" w:styleId="Hipervnculovisitado">
    <w:name w:val="FollowedHyperlink"/>
    <w:basedOn w:val="Fuentedeprrafopredeter"/>
    <w:uiPriority w:val="99"/>
    <w:semiHidden/>
    <w:unhideWhenUsed/>
    <w:rsid w:val="008372D9"/>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D74"/>
    <w:pPr>
      <w:widowControl w:val="0"/>
      <w:adjustRightInd w:val="0"/>
      <w:spacing w:after="0" w:line="360" w:lineRule="atLeast"/>
      <w:jc w:val="both"/>
      <w:textAlignment w:val="baseline"/>
    </w:pPr>
    <w:rPr>
      <w:rFonts w:ascii="Verdana" w:eastAsia="Times New Roman" w:hAnsi="Verdana" w:cs="Times New Roman"/>
      <w:sz w:val="20"/>
      <w:szCs w:val="20"/>
      <w:lang w:val="es-CR" w:eastAsia="es-CR"/>
    </w:rPr>
  </w:style>
  <w:style w:type="paragraph" w:styleId="Ttulo1">
    <w:name w:val="heading 1"/>
    <w:basedOn w:val="Normal"/>
    <w:next w:val="Normal"/>
    <w:link w:val="Ttulo1Car"/>
    <w:uiPriority w:val="9"/>
    <w:qFormat/>
    <w:rsid w:val="0010568E"/>
    <w:pPr>
      <w:keepNext/>
      <w:keepLines/>
      <w:tabs>
        <w:tab w:val="left" w:pos="851"/>
      </w:tabs>
      <w:spacing w:before="240" w:after="240" w:line="240" w:lineRule="auto"/>
      <w:jc w:val="center"/>
      <w:outlineLvl w:val="0"/>
    </w:pPr>
    <w:rPr>
      <w:rFonts w:cs="Verdana"/>
      <w:b/>
      <w:bCs/>
      <w:caps/>
      <w:snapToGrid w:val="0"/>
    </w:rPr>
  </w:style>
  <w:style w:type="paragraph" w:styleId="Ttulo2">
    <w:name w:val="heading 2"/>
    <w:basedOn w:val="Normal"/>
    <w:next w:val="Normal"/>
    <w:link w:val="Ttulo2Car"/>
    <w:uiPriority w:val="9"/>
    <w:unhideWhenUsed/>
    <w:qFormat/>
    <w:rsid w:val="00467516"/>
    <w:pPr>
      <w:keepNext/>
      <w:keepLines/>
      <w:tabs>
        <w:tab w:val="left" w:pos="1134"/>
      </w:tabs>
      <w:spacing w:before="240" w:after="240" w:line="240" w:lineRule="auto"/>
      <w:ind w:left="562"/>
      <w:outlineLvl w:val="1"/>
    </w:pPr>
    <w:rPr>
      <w:rFonts w:eastAsia="MS Mincho"/>
      <w:b/>
      <w:bCs/>
      <w:i/>
    </w:rPr>
  </w:style>
  <w:style w:type="paragraph" w:styleId="Ttulo3">
    <w:name w:val="heading 3"/>
    <w:basedOn w:val="Ttulo2"/>
    <w:next w:val="Normal"/>
    <w:link w:val="Ttulo3Car"/>
    <w:uiPriority w:val="9"/>
    <w:unhideWhenUsed/>
    <w:qFormat/>
    <w:rsid w:val="00F94D74"/>
    <w:pPr>
      <w:ind w:left="1170"/>
      <w:outlineLvl w:val="2"/>
    </w:pPr>
    <w:rPr>
      <w:rFonts w:eastAsia="Verdana" w:cs="Verdana"/>
      <w:b w:val="0"/>
    </w:rPr>
  </w:style>
  <w:style w:type="paragraph" w:styleId="Ttulo4">
    <w:name w:val="heading 4"/>
    <w:basedOn w:val="Normal"/>
    <w:next w:val="Normal"/>
    <w:link w:val="Ttulo4Car"/>
    <w:uiPriority w:val="9"/>
    <w:unhideWhenUsed/>
    <w:qFormat/>
    <w:rsid w:val="001B6BB6"/>
    <w:pPr>
      <w:spacing w:before="240" w:after="240"/>
      <w:outlineLvl w:val="3"/>
    </w:pPr>
    <w:rPr>
      <w:rFonts w:eastAsiaTheme="minorHAnsi"/>
      <w:i/>
      <w:lang w:eastAsia="en-US"/>
    </w:rPr>
  </w:style>
  <w:style w:type="paragraph" w:styleId="Ttulo5">
    <w:name w:val="heading 5"/>
    <w:basedOn w:val="Normal"/>
    <w:next w:val="Normal"/>
    <w:link w:val="Ttulo5Car"/>
    <w:uiPriority w:val="9"/>
    <w:semiHidden/>
    <w:unhideWhenUsed/>
    <w:qFormat/>
    <w:rsid w:val="00467516"/>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Ttulo5"/>
    <w:next w:val="Normal"/>
    <w:link w:val="Ttulo6Car"/>
    <w:uiPriority w:val="9"/>
    <w:unhideWhenUsed/>
    <w:qFormat/>
    <w:rsid w:val="00467516"/>
    <w:pPr>
      <w:keepNext w:val="0"/>
      <w:keepLines w:val="0"/>
      <w:widowControl/>
      <w:tabs>
        <w:tab w:val="num" w:pos="3600"/>
      </w:tabs>
      <w:adjustRightInd/>
      <w:spacing w:before="0" w:line="240" w:lineRule="auto"/>
      <w:ind w:left="3600" w:hanging="360"/>
      <w:textAlignment w:val="auto"/>
      <w:outlineLvl w:val="5"/>
    </w:pPr>
    <w:rPr>
      <w:rFonts w:ascii="Verdana" w:eastAsia="Times New Roman" w:hAnsi="Verdana" w:cs="Times New Roman"/>
      <w:color w:val="auto"/>
      <w:spacing w:val="-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0568E"/>
    <w:rPr>
      <w:rFonts w:ascii="Verdana" w:eastAsia="Times New Roman" w:hAnsi="Verdana" w:cs="Verdana"/>
      <w:b/>
      <w:bCs/>
      <w:caps/>
      <w:snapToGrid w:val="0"/>
      <w:sz w:val="20"/>
      <w:szCs w:val="20"/>
      <w:lang w:val="es-CR" w:eastAsia="es-CR"/>
    </w:rPr>
  </w:style>
  <w:style w:type="character" w:customStyle="1" w:styleId="Ttulo2Car">
    <w:name w:val="Título 2 Car"/>
    <w:basedOn w:val="Fuentedeprrafopredeter"/>
    <w:link w:val="Ttulo2"/>
    <w:uiPriority w:val="9"/>
    <w:rsid w:val="00467516"/>
    <w:rPr>
      <w:rFonts w:ascii="Verdana" w:eastAsia="MS Mincho" w:hAnsi="Verdana" w:cs="Times New Roman"/>
      <w:b/>
      <w:bCs/>
      <w:i/>
      <w:sz w:val="20"/>
      <w:szCs w:val="20"/>
      <w:lang w:val="es-CR" w:eastAsia="es-CR"/>
    </w:rPr>
  </w:style>
  <w:style w:type="character" w:customStyle="1" w:styleId="Ttulo3Car">
    <w:name w:val="Título 3 Car"/>
    <w:basedOn w:val="Fuentedeprrafopredeter"/>
    <w:link w:val="Ttulo3"/>
    <w:uiPriority w:val="9"/>
    <w:rsid w:val="00F94D74"/>
    <w:rPr>
      <w:rFonts w:ascii="Verdana" w:eastAsia="Verdana" w:hAnsi="Verdana" w:cs="Verdana"/>
      <w:bCs/>
      <w:i/>
      <w:sz w:val="20"/>
      <w:szCs w:val="20"/>
      <w:lang w:val="es-CR" w:eastAsia="es-CR"/>
    </w:rPr>
  </w:style>
  <w:style w:type="character" w:customStyle="1" w:styleId="Ttulo4Car">
    <w:name w:val="Título 4 Car"/>
    <w:basedOn w:val="Fuentedeprrafopredeter"/>
    <w:link w:val="Ttulo4"/>
    <w:uiPriority w:val="9"/>
    <w:rsid w:val="001B6BB6"/>
    <w:rPr>
      <w:rFonts w:ascii="Verdana" w:hAnsi="Verdana" w:cs="Times New Roman"/>
      <w:i/>
      <w:sz w:val="20"/>
      <w:szCs w:val="20"/>
      <w:lang w:val="es-CR"/>
    </w:rPr>
  </w:style>
  <w:style w:type="character" w:customStyle="1" w:styleId="Ttulo5Car">
    <w:name w:val="Título 5 Car"/>
    <w:basedOn w:val="Fuentedeprrafopredeter"/>
    <w:link w:val="Ttulo5"/>
    <w:uiPriority w:val="9"/>
    <w:semiHidden/>
    <w:rsid w:val="00467516"/>
    <w:rPr>
      <w:rFonts w:asciiTheme="majorHAnsi" w:eastAsiaTheme="majorEastAsia" w:hAnsiTheme="majorHAnsi" w:cstheme="majorBidi"/>
      <w:color w:val="1F4D78" w:themeColor="accent1" w:themeShade="7F"/>
      <w:sz w:val="24"/>
      <w:szCs w:val="24"/>
      <w:lang w:val="es-CR" w:eastAsia="es-CR"/>
    </w:rPr>
  </w:style>
  <w:style w:type="character" w:customStyle="1" w:styleId="Ttulo6Car">
    <w:name w:val="Título 6 Car"/>
    <w:basedOn w:val="Fuentedeprrafopredeter"/>
    <w:link w:val="Ttulo6"/>
    <w:uiPriority w:val="9"/>
    <w:rsid w:val="00467516"/>
    <w:rPr>
      <w:rFonts w:ascii="Verdana" w:eastAsia="Times New Roman" w:hAnsi="Verdana" w:cs="Times New Roman"/>
      <w:spacing w:val="-2"/>
      <w:sz w:val="20"/>
      <w:szCs w:val="20"/>
      <w:lang w:val="es-ES_tradnl" w:eastAsia="es-CR"/>
    </w:rPr>
  </w:style>
  <w:style w:type="character" w:styleId="Refdenotaalpie">
    <w:name w:val="footnote reference"/>
    <w:aliases w:val="Appel note de bas de page,Footnotes refss,Footnote number,referencia nota al pie,BVI fnr,f,4_G,16 Point,Superscript 6 Point,Texto nota al pie,Footnote Reference Char3,Footnote Reference Char1 Char,Ref. de nota al,Ref. de nota al pi"/>
    <w:link w:val="4GChar"/>
    <w:uiPriority w:val="99"/>
    <w:qFormat/>
    <w:rsid w:val="0046751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Ca,FA Fu?notentext,C,ft"/>
    <w:basedOn w:val="Normal"/>
    <w:link w:val="TextonotapieCar"/>
    <w:uiPriority w:val="99"/>
    <w:qFormat/>
    <w:rsid w:val="00467516"/>
    <w:pPr>
      <w:spacing w:line="240" w:lineRule="auto"/>
    </w:pPr>
    <w:rPr>
      <w:lang w:val="es-ES_tradnl" w:eastAsia="x-non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 Car,Ca Car"/>
    <w:basedOn w:val="Fuentedeprrafopredeter"/>
    <w:link w:val="Textonotapie"/>
    <w:uiPriority w:val="99"/>
    <w:qFormat/>
    <w:rsid w:val="00467516"/>
    <w:rPr>
      <w:rFonts w:ascii="Verdana" w:eastAsia="Times New Roman" w:hAnsi="Verdana" w:cs="Times New Roman"/>
      <w:sz w:val="20"/>
      <w:szCs w:val="20"/>
      <w:lang w:val="es-ES_tradnl" w:eastAsia="x-none"/>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467516"/>
    <w:pPr>
      <w:widowControl/>
      <w:adjustRightInd/>
      <w:spacing w:line="240" w:lineRule="auto"/>
      <w:textAlignment w:val="auto"/>
    </w:pPr>
    <w:rPr>
      <w:rFonts w:asciiTheme="minorHAnsi" w:eastAsiaTheme="minorHAnsi" w:hAnsiTheme="minorHAnsi" w:cstheme="minorBidi"/>
      <w:sz w:val="22"/>
      <w:szCs w:val="22"/>
      <w:vertAlign w:val="superscript"/>
      <w:lang w:val="en-US" w:eastAsia="en-US"/>
    </w:rPr>
  </w:style>
  <w:style w:type="character" w:styleId="Nmerodelnea">
    <w:name w:val="line number"/>
    <w:basedOn w:val="Fuentedeprrafopredeter"/>
    <w:uiPriority w:val="99"/>
    <w:semiHidden/>
    <w:unhideWhenUsed/>
    <w:rsid w:val="00467516"/>
  </w:style>
  <w:style w:type="paragraph" w:styleId="Encabezado">
    <w:name w:val="header"/>
    <w:basedOn w:val="Normal"/>
    <w:link w:val="EncabezadoCar"/>
    <w:uiPriority w:val="99"/>
    <w:unhideWhenUsed/>
    <w:rsid w:val="00467516"/>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67516"/>
    <w:rPr>
      <w:rFonts w:ascii="Verdana" w:eastAsia="Times New Roman" w:hAnsi="Verdana" w:cs="Times New Roman"/>
      <w:sz w:val="24"/>
      <w:szCs w:val="24"/>
      <w:lang w:val="es-CR" w:eastAsia="es-CR"/>
    </w:rPr>
  </w:style>
  <w:style w:type="paragraph" w:styleId="Piedepgina">
    <w:name w:val="footer"/>
    <w:basedOn w:val="Normal"/>
    <w:link w:val="PiedepginaCar"/>
    <w:uiPriority w:val="99"/>
    <w:unhideWhenUsed/>
    <w:rsid w:val="00467516"/>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67516"/>
    <w:rPr>
      <w:rFonts w:ascii="Verdana" w:eastAsia="Times New Roman" w:hAnsi="Verdana" w:cs="Times New Roman"/>
      <w:sz w:val="24"/>
      <w:szCs w:val="24"/>
      <w:lang w:val="es-CR" w:eastAsia="es-CR"/>
    </w:rPr>
  </w:style>
  <w:style w:type="paragraph" w:styleId="Prrafodelista">
    <w:name w:val="List Paragraph"/>
    <w:aliases w:val="List Paragraph2,Lista vistosa - Énfasis 11,Párrafo de lista1,Footnote,List Paragraph1,Colorful List - Accent 11,Parrafos,Subtle Emphasis1,Footnote1,List Paragraph11"/>
    <w:basedOn w:val="Normal"/>
    <w:link w:val="PrrafodelistaCar"/>
    <w:qFormat/>
    <w:rsid w:val="00467516"/>
    <w:pPr>
      <w:ind w:left="708"/>
    </w:pPr>
  </w:style>
  <w:style w:type="character" w:customStyle="1" w:styleId="PrrafodelistaCar">
    <w:name w:val="Párrafo de lista Car"/>
    <w:aliases w:val="List Paragraph2 Car,Lista vistosa - Énfasis 11 Car,Párrafo de lista1 Car,Footnote Car,List Paragraph1 Car,Colorful List - Accent 11 Car,Parrafos Car,Subtle Emphasis1 Car,Footnote1 Car,List Paragraph11 Car"/>
    <w:basedOn w:val="Fuentedeprrafopredeter"/>
    <w:link w:val="Prrafodelista"/>
    <w:rsid w:val="00467516"/>
    <w:rPr>
      <w:rFonts w:ascii="Verdana" w:eastAsia="Times New Roman" w:hAnsi="Verdana" w:cs="Times New Roman"/>
      <w:sz w:val="24"/>
      <w:szCs w:val="24"/>
      <w:lang w:val="es-CR" w:eastAsia="es-CR"/>
    </w:rPr>
  </w:style>
  <w:style w:type="character" w:styleId="Textoennegrita">
    <w:name w:val="Strong"/>
    <w:aliases w:val="Heading 2.1"/>
    <w:basedOn w:val="Fuentedeprrafopredeter"/>
    <w:uiPriority w:val="22"/>
    <w:qFormat/>
    <w:rsid w:val="00467516"/>
    <w:rPr>
      <w:b/>
      <w:bCs/>
    </w:rPr>
  </w:style>
  <w:style w:type="paragraph" w:styleId="NormalWeb">
    <w:name w:val="Normal (Web)"/>
    <w:aliases w:val="Normal (Web) Char1,Normal (Web) Char Char,Normal (Web) Char1 Char,Normal (Web) Char Char Char"/>
    <w:basedOn w:val="Normal"/>
    <w:uiPriority w:val="99"/>
    <w:unhideWhenUsed/>
    <w:rsid w:val="00467516"/>
    <w:rPr>
      <w:rFonts w:ascii="Times New Roman" w:hAnsi="Times New Roman"/>
    </w:rPr>
  </w:style>
  <w:style w:type="character" w:customStyle="1" w:styleId="apple-converted-space">
    <w:name w:val="apple-converted-space"/>
    <w:basedOn w:val="Fuentedeprrafopredeter"/>
    <w:rsid w:val="00467516"/>
  </w:style>
  <w:style w:type="character" w:styleId="Hipervnculo">
    <w:name w:val="Hyperlink"/>
    <w:basedOn w:val="Fuentedeprrafopredeter"/>
    <w:uiPriority w:val="99"/>
    <w:unhideWhenUsed/>
    <w:rsid w:val="00467516"/>
    <w:rPr>
      <w:color w:val="0563C1" w:themeColor="hyperlink"/>
      <w:u w:val="single"/>
    </w:rPr>
  </w:style>
  <w:style w:type="paragraph" w:styleId="Encabezadodetabladecontenido">
    <w:name w:val="TOC Heading"/>
    <w:basedOn w:val="Ttulo1"/>
    <w:next w:val="Normal"/>
    <w:uiPriority w:val="39"/>
    <w:unhideWhenUsed/>
    <w:qFormat/>
    <w:rsid w:val="00467516"/>
    <w:pPr>
      <w:widowControl/>
      <w:adjustRightInd/>
      <w:spacing w:line="276" w:lineRule="auto"/>
      <w:jc w:val="left"/>
      <w:textAlignment w:val="auto"/>
      <w:outlineLvl w:val="9"/>
    </w:pPr>
    <w:rPr>
      <w:lang w:val="en-US" w:eastAsia="ja-JP"/>
    </w:rPr>
  </w:style>
  <w:style w:type="paragraph" w:styleId="TDC1">
    <w:name w:val="toc 1"/>
    <w:basedOn w:val="Normal"/>
    <w:next w:val="Normal"/>
    <w:autoRedefine/>
    <w:uiPriority w:val="39"/>
    <w:unhideWhenUsed/>
    <w:rsid w:val="00467516"/>
    <w:pPr>
      <w:tabs>
        <w:tab w:val="right" w:leader="dot" w:pos="10070"/>
      </w:tabs>
      <w:spacing w:before="120" w:after="120" w:line="240" w:lineRule="auto"/>
    </w:pPr>
    <w:rPr>
      <w:rFonts w:eastAsia="MS Mincho"/>
      <w:b/>
      <w:noProof/>
    </w:rPr>
  </w:style>
  <w:style w:type="paragraph" w:styleId="TDC2">
    <w:name w:val="toc 2"/>
    <w:basedOn w:val="Normal"/>
    <w:next w:val="Normal"/>
    <w:autoRedefine/>
    <w:uiPriority w:val="39"/>
    <w:unhideWhenUsed/>
    <w:rsid w:val="00467516"/>
    <w:pPr>
      <w:tabs>
        <w:tab w:val="left" w:pos="450"/>
        <w:tab w:val="left" w:pos="630"/>
        <w:tab w:val="right" w:leader="dot" w:pos="10070"/>
      </w:tabs>
      <w:spacing w:line="240" w:lineRule="auto"/>
      <w:ind w:left="240"/>
    </w:pPr>
  </w:style>
  <w:style w:type="paragraph" w:styleId="Textodeglobo">
    <w:name w:val="Balloon Text"/>
    <w:basedOn w:val="Normal"/>
    <w:link w:val="TextodegloboCar"/>
    <w:uiPriority w:val="99"/>
    <w:semiHidden/>
    <w:unhideWhenUsed/>
    <w:rsid w:val="00467516"/>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67516"/>
    <w:rPr>
      <w:rFonts w:ascii="Tahoma" w:eastAsia="Times New Roman" w:hAnsi="Tahoma" w:cs="Tahoma"/>
      <w:sz w:val="16"/>
      <w:szCs w:val="16"/>
      <w:lang w:val="es-CR" w:eastAsia="es-CR"/>
    </w:rPr>
  </w:style>
  <w:style w:type="table" w:styleId="Tablaconcuadrcula">
    <w:name w:val="Table Grid"/>
    <w:basedOn w:val="Tablanormal"/>
    <w:uiPriority w:val="59"/>
    <w:rsid w:val="00467516"/>
    <w:pPr>
      <w:spacing w:after="0" w:line="240" w:lineRule="auto"/>
    </w:pPr>
    <w:rPr>
      <w:lang w:val="es-C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Sinlista"/>
    <w:uiPriority w:val="99"/>
    <w:semiHidden/>
    <w:unhideWhenUsed/>
    <w:rsid w:val="00467516"/>
  </w:style>
  <w:style w:type="character" w:styleId="Refdecomentario">
    <w:name w:val="annotation reference"/>
    <w:basedOn w:val="Fuentedeprrafopredeter"/>
    <w:uiPriority w:val="99"/>
    <w:semiHidden/>
    <w:unhideWhenUsed/>
    <w:rsid w:val="00467516"/>
    <w:rPr>
      <w:sz w:val="16"/>
      <w:szCs w:val="16"/>
    </w:rPr>
  </w:style>
  <w:style w:type="paragraph" w:styleId="Textocomentario">
    <w:name w:val="annotation text"/>
    <w:basedOn w:val="Normal"/>
    <w:link w:val="TextocomentarioCar"/>
    <w:uiPriority w:val="99"/>
    <w:unhideWhenUsed/>
    <w:rsid w:val="00467516"/>
    <w:pPr>
      <w:widowControl/>
      <w:adjustRightInd/>
      <w:spacing w:after="200" w:line="240" w:lineRule="auto"/>
      <w:jc w:val="left"/>
      <w:textAlignment w:val="auto"/>
    </w:pPr>
    <w:rPr>
      <w:rFonts w:asciiTheme="minorHAnsi" w:eastAsiaTheme="minorHAnsi" w:hAnsiTheme="minorHAnsi" w:cstheme="minorBidi"/>
      <w:lang w:eastAsia="en-US"/>
    </w:rPr>
  </w:style>
  <w:style w:type="character" w:customStyle="1" w:styleId="TextocomentarioCar">
    <w:name w:val="Texto comentario Car"/>
    <w:basedOn w:val="Fuentedeprrafopredeter"/>
    <w:link w:val="Textocomentario"/>
    <w:uiPriority w:val="99"/>
    <w:rsid w:val="00467516"/>
    <w:rPr>
      <w:sz w:val="20"/>
      <w:szCs w:val="20"/>
      <w:lang w:val="es-CR"/>
    </w:rPr>
  </w:style>
  <w:style w:type="paragraph" w:styleId="Asuntodelcomentario">
    <w:name w:val="annotation subject"/>
    <w:basedOn w:val="Textocomentario"/>
    <w:next w:val="Textocomentario"/>
    <w:link w:val="AsuntodelcomentarioCar"/>
    <w:uiPriority w:val="99"/>
    <w:semiHidden/>
    <w:unhideWhenUsed/>
    <w:rsid w:val="00467516"/>
    <w:rPr>
      <w:b/>
      <w:bCs/>
    </w:rPr>
  </w:style>
  <w:style w:type="character" w:customStyle="1" w:styleId="AsuntodelcomentarioCar">
    <w:name w:val="Asunto del comentario Car"/>
    <w:basedOn w:val="TextocomentarioCar"/>
    <w:link w:val="Asuntodelcomentario"/>
    <w:uiPriority w:val="99"/>
    <w:semiHidden/>
    <w:rsid w:val="00467516"/>
    <w:rPr>
      <w:b/>
      <w:bCs/>
      <w:sz w:val="20"/>
      <w:szCs w:val="20"/>
      <w:lang w:val="es-CR"/>
    </w:rPr>
  </w:style>
  <w:style w:type="character" w:customStyle="1" w:styleId="ListParagraphChar1">
    <w:name w:val="List Paragraph Char1"/>
    <w:aliases w:val="List Paragraph2 Char1,Lista vistosa - Énfasis 11 Char1,Párrafo de lista1 Char1,Footnote Char1,List Paragraph1 Char1"/>
    <w:basedOn w:val="Fuentedeprrafopredeter"/>
    <w:uiPriority w:val="34"/>
    <w:rsid w:val="00467516"/>
    <w:rPr>
      <w:rFonts w:ascii="Verdana" w:eastAsia="Times New Roman" w:hAnsi="Verdana" w:cs="Times New Roman"/>
      <w:sz w:val="24"/>
      <w:szCs w:val="24"/>
      <w:lang w:eastAsia="es-CR"/>
    </w:rPr>
  </w:style>
  <w:style w:type="paragraph" w:customStyle="1" w:styleId="Default">
    <w:name w:val="Default"/>
    <w:rsid w:val="00467516"/>
    <w:pPr>
      <w:autoSpaceDE w:val="0"/>
      <w:autoSpaceDN w:val="0"/>
      <w:adjustRightInd w:val="0"/>
      <w:spacing w:after="0" w:line="240" w:lineRule="auto"/>
    </w:pPr>
    <w:rPr>
      <w:rFonts w:ascii="Verdana" w:hAnsi="Verdana" w:cs="Verdana"/>
      <w:color w:val="000000"/>
      <w:sz w:val="24"/>
      <w:szCs w:val="24"/>
      <w:lang w:val="es-CR"/>
    </w:rPr>
  </w:style>
  <w:style w:type="paragraph" w:customStyle="1" w:styleId="PrrafodeSentencia">
    <w:name w:val="*. Párrafo de Sentencia"/>
    <w:basedOn w:val="Normal"/>
    <w:link w:val="PrrafodeSentenciaChar"/>
    <w:qFormat/>
    <w:rsid w:val="00467516"/>
    <w:pPr>
      <w:widowControl/>
      <w:numPr>
        <w:numId w:val="1"/>
      </w:numPr>
      <w:tabs>
        <w:tab w:val="left" w:pos="567"/>
      </w:tabs>
      <w:adjustRightInd/>
      <w:spacing w:line="240" w:lineRule="auto"/>
      <w:textAlignment w:val="auto"/>
    </w:pPr>
    <w:rPr>
      <w:rFonts w:eastAsia="Batang"/>
      <w:lang w:val="es-ES_tradnl" w:eastAsia="es-MX"/>
    </w:rPr>
  </w:style>
  <w:style w:type="character" w:customStyle="1" w:styleId="PrrafodeSentenciaChar">
    <w:name w:val="*. Párrafo de Sentencia Char"/>
    <w:link w:val="PrrafodeSentencia"/>
    <w:rsid w:val="00467516"/>
    <w:rPr>
      <w:rFonts w:ascii="Verdana" w:eastAsia="Batang" w:hAnsi="Verdana" w:cs="Times New Roman"/>
      <w:sz w:val="20"/>
      <w:szCs w:val="20"/>
      <w:lang w:val="es-ES_tradnl" w:eastAsia="es-MX"/>
    </w:rPr>
  </w:style>
  <w:style w:type="character" w:customStyle="1" w:styleId="shorttext">
    <w:name w:val="shorttext"/>
    <w:basedOn w:val="Fuentedeprrafopredeter"/>
    <w:rsid w:val="00467516"/>
  </w:style>
  <w:style w:type="paragraph" w:customStyle="1" w:styleId="Estilo4">
    <w:name w:val="Estilo4"/>
    <w:basedOn w:val="Prrafodelista"/>
    <w:qFormat/>
    <w:rsid w:val="00467516"/>
    <w:pPr>
      <w:widowControl/>
      <w:numPr>
        <w:ilvl w:val="1"/>
        <w:numId w:val="2"/>
      </w:numPr>
      <w:adjustRightInd/>
      <w:spacing w:after="120" w:line="240" w:lineRule="auto"/>
      <w:ind w:left="0" w:firstLine="357"/>
      <w:textAlignment w:val="auto"/>
    </w:pPr>
    <w:rPr>
      <w:spacing w:val="-2"/>
      <w:lang w:eastAsia="en-US"/>
    </w:rPr>
  </w:style>
  <w:style w:type="paragraph" w:customStyle="1" w:styleId="Numberedparagraphs">
    <w:name w:val="Numbered paragraphs"/>
    <w:basedOn w:val="Normal"/>
    <w:qFormat/>
    <w:rsid w:val="00467516"/>
    <w:pPr>
      <w:widowControl/>
      <w:adjustRightInd/>
      <w:spacing w:after="200" w:line="240" w:lineRule="auto"/>
      <w:textAlignment w:val="auto"/>
    </w:pPr>
    <w:rPr>
      <w:rFonts w:eastAsia="MS Mincho"/>
      <w:color w:val="000000"/>
      <w:lang w:val="es-ES_tradnl" w:eastAsia="en-US"/>
    </w:rPr>
  </w:style>
  <w:style w:type="character" w:customStyle="1" w:styleId="FootnoteTextChar1">
    <w:name w:val="Footnote Text Char1"/>
    <w:aliases w:val="2. Footnote Text Char1,Footnote Tesina Char1,FA Fu Char2,Footnote Text Char Char Char Char Char Char2,Footnote Text Char Char Char Char Char3,Footnote reference Char2,Footnote Text Char Char Char Char3,Footnote Text Cha Char2,C Char1"/>
    <w:basedOn w:val="Fuentedeprrafopredeter"/>
    <w:uiPriority w:val="99"/>
    <w:qFormat/>
    <w:rsid w:val="00467516"/>
    <w:rPr>
      <w:sz w:val="20"/>
      <w:szCs w:val="20"/>
    </w:rPr>
  </w:style>
  <w:style w:type="character" w:customStyle="1" w:styleId="column">
    <w:name w:val="column"/>
    <w:basedOn w:val="Fuentedeprrafopredeter"/>
    <w:rsid w:val="00467516"/>
  </w:style>
  <w:style w:type="character" w:customStyle="1" w:styleId="summarytext">
    <w:name w:val="summarytext"/>
    <w:basedOn w:val="Fuentedeprrafopredeter"/>
    <w:rsid w:val="00467516"/>
  </w:style>
  <w:style w:type="character" w:customStyle="1" w:styleId="textcolumn">
    <w:name w:val="textcolumn"/>
    <w:basedOn w:val="Fuentedeprrafopredeter"/>
    <w:rsid w:val="00467516"/>
  </w:style>
  <w:style w:type="character" w:customStyle="1" w:styleId="more">
    <w:name w:val="more"/>
    <w:basedOn w:val="Fuentedeprrafopredeter"/>
    <w:rsid w:val="00467516"/>
  </w:style>
  <w:style w:type="paragraph" w:customStyle="1" w:styleId="FootnotesrefssChar1Char">
    <w:name w:val="Footnotes refss Char1 Char"/>
    <w:aliases w:val="Texto de nota al pie Char1 Char,Appel note de bas de page Char1 Char,Footnote number Char1 Char,referencia nota al pie Char1 Char,BVI fnr Char1 Char,f Char1 Char,4_G Char1 Char,16 Point Char1 Char"/>
    <w:basedOn w:val="Normal"/>
    <w:uiPriority w:val="99"/>
    <w:qFormat/>
    <w:rsid w:val="00467516"/>
    <w:pPr>
      <w:widowControl/>
      <w:adjustRightInd/>
      <w:spacing w:after="160" w:line="240" w:lineRule="exact"/>
      <w:jc w:val="left"/>
      <w:textAlignment w:val="auto"/>
    </w:pPr>
    <w:rPr>
      <w:rFonts w:eastAsiaTheme="minorHAnsi" w:cstheme="minorBidi"/>
      <w:vertAlign w:val="superscript"/>
      <w:lang w:eastAsia="en-US"/>
    </w:rPr>
  </w:style>
  <w:style w:type="paragraph" w:styleId="Sinespaciado">
    <w:name w:val="No Spacing"/>
    <w:link w:val="SinespaciadoCar"/>
    <w:uiPriority w:val="1"/>
    <w:qFormat/>
    <w:rsid w:val="00467516"/>
    <w:pPr>
      <w:spacing w:after="0" w:line="240" w:lineRule="auto"/>
    </w:pPr>
    <w:rPr>
      <w:lang w:val="es-CR"/>
    </w:rPr>
  </w:style>
  <w:style w:type="character" w:customStyle="1" w:styleId="SinespaciadoCar">
    <w:name w:val="Sin espaciado Car"/>
    <w:basedOn w:val="Fuentedeprrafopredeter"/>
    <w:link w:val="Sinespaciado"/>
    <w:uiPriority w:val="1"/>
    <w:rsid w:val="00467516"/>
    <w:rPr>
      <w:lang w:val="es-CR"/>
    </w:rPr>
  </w:style>
  <w:style w:type="paragraph" w:styleId="Textodecuerpo3">
    <w:name w:val="Body Text 3"/>
    <w:basedOn w:val="Normal"/>
    <w:link w:val="Textodecuerpo3Car"/>
    <w:rsid w:val="00467516"/>
    <w:pPr>
      <w:widowControl/>
      <w:adjustRightInd/>
      <w:spacing w:after="120" w:line="240" w:lineRule="auto"/>
      <w:jc w:val="left"/>
      <w:textAlignment w:val="auto"/>
    </w:pPr>
    <w:rPr>
      <w:rFonts w:ascii="Times New Roman" w:hAnsi="Times New Roman"/>
      <w:sz w:val="16"/>
      <w:szCs w:val="16"/>
      <w:lang w:val="es-ES_tradnl" w:eastAsia="es-ES"/>
    </w:rPr>
  </w:style>
  <w:style w:type="character" w:customStyle="1" w:styleId="Textodecuerpo3Car">
    <w:name w:val="Texto de cuerpo 3 Car"/>
    <w:basedOn w:val="Fuentedeprrafopredeter"/>
    <w:link w:val="Textodecuerpo3"/>
    <w:rsid w:val="00467516"/>
    <w:rPr>
      <w:rFonts w:ascii="Times New Roman" w:eastAsia="Times New Roman" w:hAnsi="Times New Roman" w:cs="Times New Roman"/>
      <w:sz w:val="16"/>
      <w:szCs w:val="16"/>
      <w:lang w:val="es-ES_tradnl" w:eastAsia="es-ES"/>
    </w:rPr>
  </w:style>
  <w:style w:type="paragraph" w:styleId="Sangra2detdecuerpo">
    <w:name w:val="Body Text Indent 2"/>
    <w:basedOn w:val="Normal"/>
    <w:link w:val="Sangra2detdecuerpoCar"/>
    <w:uiPriority w:val="99"/>
    <w:semiHidden/>
    <w:unhideWhenUsed/>
    <w:rsid w:val="00467516"/>
    <w:pPr>
      <w:spacing w:after="120" w:line="480" w:lineRule="auto"/>
      <w:ind w:left="360"/>
    </w:pPr>
  </w:style>
  <w:style w:type="character" w:customStyle="1" w:styleId="Sangra2detdecuerpoCar">
    <w:name w:val="Sangría 2 de t. de cuerpo Car"/>
    <w:basedOn w:val="Fuentedeprrafopredeter"/>
    <w:link w:val="Sangra2detdecuerpo"/>
    <w:uiPriority w:val="99"/>
    <w:semiHidden/>
    <w:rsid w:val="00467516"/>
    <w:rPr>
      <w:rFonts w:ascii="Verdana" w:eastAsia="Times New Roman" w:hAnsi="Verdana" w:cs="Times New Roman"/>
      <w:sz w:val="24"/>
      <w:szCs w:val="24"/>
      <w:lang w:val="es-CR" w:eastAsia="es-CR"/>
    </w:rPr>
  </w:style>
  <w:style w:type="paragraph" w:customStyle="1" w:styleId="Normal1">
    <w:name w:val="Normal1"/>
    <w:rsid w:val="00467516"/>
    <w:pPr>
      <w:widowControl w:val="0"/>
      <w:spacing w:after="0" w:line="240" w:lineRule="auto"/>
    </w:pPr>
    <w:rPr>
      <w:rFonts w:ascii="Times New Roman" w:eastAsia="Times New Roman" w:hAnsi="Times New Roman" w:cs="Times New Roman"/>
      <w:sz w:val="24"/>
      <w:szCs w:val="24"/>
      <w:lang w:val="es-CR"/>
    </w:rPr>
  </w:style>
  <w:style w:type="paragraph" w:styleId="Textodebloque">
    <w:name w:val="Block Text"/>
    <w:basedOn w:val="Normal"/>
    <w:rsid w:val="00467516"/>
    <w:pPr>
      <w:widowControl/>
      <w:tabs>
        <w:tab w:val="left" w:pos="720"/>
      </w:tabs>
      <w:adjustRightInd/>
      <w:spacing w:line="240" w:lineRule="auto"/>
      <w:ind w:left="720" w:right="720"/>
      <w:textAlignment w:val="auto"/>
    </w:pPr>
    <w:rPr>
      <w:rFonts w:ascii="Garamond" w:hAnsi="Garamond"/>
      <w:sz w:val="22"/>
      <w:lang w:val="en-GB" w:eastAsia="en-US"/>
    </w:rPr>
  </w:style>
  <w:style w:type="table" w:customStyle="1" w:styleId="GridTable5Dark-Accent11">
    <w:name w:val="Grid Table 5 Dark - Accent 11"/>
    <w:basedOn w:val="Tablanormal"/>
    <w:uiPriority w:val="50"/>
    <w:rsid w:val="00467516"/>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Mencinsinresolver1">
    <w:name w:val="Mención sin resolver1"/>
    <w:basedOn w:val="Fuentedeprrafopredeter"/>
    <w:uiPriority w:val="99"/>
    <w:semiHidden/>
    <w:unhideWhenUsed/>
    <w:rsid w:val="00467516"/>
    <w:rPr>
      <w:color w:val="605E5C"/>
      <w:shd w:val="clear" w:color="auto" w:fill="E1DFDD"/>
    </w:rPr>
  </w:style>
  <w:style w:type="character" w:customStyle="1" w:styleId="highlight">
    <w:name w:val="highlight"/>
    <w:basedOn w:val="Fuentedeprrafopredeter"/>
    <w:rsid w:val="00467516"/>
  </w:style>
  <w:style w:type="paragraph" w:customStyle="1" w:styleId="Prrafodelista2">
    <w:name w:val="Párrafo de lista2"/>
    <w:basedOn w:val="Normal"/>
    <w:uiPriority w:val="99"/>
    <w:rsid w:val="00467516"/>
    <w:pPr>
      <w:widowControl/>
      <w:adjustRightInd/>
      <w:spacing w:line="240" w:lineRule="auto"/>
      <w:ind w:left="720"/>
      <w:jc w:val="left"/>
      <w:textAlignment w:val="auto"/>
    </w:pPr>
    <w:rPr>
      <w:rFonts w:eastAsia="MS Mincho"/>
      <w:lang w:val="es-ES_tradnl" w:eastAsia="en-US"/>
    </w:rPr>
  </w:style>
  <w:style w:type="paragraph" w:styleId="TDC3">
    <w:name w:val="toc 3"/>
    <w:basedOn w:val="Normal"/>
    <w:next w:val="Normal"/>
    <w:autoRedefine/>
    <w:uiPriority w:val="39"/>
    <w:unhideWhenUsed/>
    <w:rsid w:val="00467516"/>
    <w:pPr>
      <w:tabs>
        <w:tab w:val="left" w:pos="1080"/>
        <w:tab w:val="left" w:pos="1260"/>
        <w:tab w:val="left" w:pos="1440"/>
        <w:tab w:val="left" w:pos="1530"/>
        <w:tab w:val="right" w:leader="dot" w:pos="10070"/>
      </w:tabs>
      <w:spacing w:line="240" w:lineRule="auto"/>
      <w:ind w:left="1080" w:hanging="270"/>
    </w:pPr>
  </w:style>
  <w:style w:type="paragraph" w:customStyle="1" w:styleId="Estilo1">
    <w:name w:val="Estilo1"/>
    <w:basedOn w:val="Normal"/>
    <w:link w:val="Estilo1Car"/>
    <w:qFormat/>
    <w:rsid w:val="00467516"/>
    <w:pPr>
      <w:widowControl/>
      <w:adjustRightInd/>
      <w:spacing w:after="120" w:line="240" w:lineRule="auto"/>
      <w:ind w:left="2018" w:right="6" w:hanging="180"/>
      <w:textAlignment w:val="auto"/>
    </w:pPr>
    <w:rPr>
      <w:rFonts w:eastAsia="Batang" w:cs="Times"/>
      <w:i/>
      <w:lang w:val="es-ES_tradnl" w:eastAsia="en-US"/>
    </w:rPr>
  </w:style>
  <w:style w:type="character" w:customStyle="1" w:styleId="Estilo1Car">
    <w:name w:val="Estilo1 Car"/>
    <w:basedOn w:val="Fuentedeprrafopredeter"/>
    <w:link w:val="Estilo1"/>
    <w:rsid w:val="00467516"/>
    <w:rPr>
      <w:rFonts w:ascii="Verdana" w:eastAsia="Batang" w:hAnsi="Verdana" w:cs="Times"/>
      <w:i/>
      <w:sz w:val="20"/>
      <w:szCs w:val="24"/>
      <w:lang w:val="es-ES_tradnl"/>
    </w:rPr>
  </w:style>
  <w:style w:type="numbering" w:customStyle="1" w:styleId="ImportedStyle1">
    <w:name w:val="Imported Style 1"/>
    <w:rsid w:val="00467516"/>
    <w:pPr>
      <w:numPr>
        <w:numId w:val="5"/>
      </w:numPr>
    </w:pPr>
  </w:style>
  <w:style w:type="character" w:customStyle="1" w:styleId="fontstyle01">
    <w:name w:val="fontstyle01"/>
    <w:basedOn w:val="Fuentedeprrafopredeter"/>
    <w:rsid w:val="00467516"/>
    <w:rPr>
      <w:rFonts w:ascii="Arial" w:hAnsi="Arial" w:cs="Arial" w:hint="default"/>
      <w:b w:val="0"/>
      <w:bCs w:val="0"/>
      <w:i w:val="0"/>
      <w:iCs w:val="0"/>
      <w:color w:val="000000"/>
      <w:sz w:val="24"/>
      <w:szCs w:val="24"/>
    </w:rPr>
  </w:style>
  <w:style w:type="paragraph" w:styleId="Textodecuerpo2">
    <w:name w:val="Body Text 2"/>
    <w:basedOn w:val="Normal"/>
    <w:link w:val="Textodecuerpo2Car"/>
    <w:uiPriority w:val="99"/>
    <w:semiHidden/>
    <w:unhideWhenUsed/>
    <w:rsid w:val="00F83A85"/>
    <w:pPr>
      <w:spacing w:after="120" w:line="480" w:lineRule="auto"/>
    </w:pPr>
  </w:style>
  <w:style w:type="character" w:customStyle="1" w:styleId="Textodecuerpo2Car">
    <w:name w:val="Texto de cuerpo 2 Car"/>
    <w:basedOn w:val="Fuentedeprrafopredeter"/>
    <w:link w:val="Textodecuerpo2"/>
    <w:uiPriority w:val="99"/>
    <w:semiHidden/>
    <w:rsid w:val="00F83A85"/>
    <w:rPr>
      <w:rFonts w:ascii="Verdana" w:eastAsia="Times New Roman" w:hAnsi="Verdana" w:cs="Times New Roman"/>
      <w:sz w:val="24"/>
      <w:szCs w:val="24"/>
      <w:lang w:val="es-CR" w:eastAsia="es-CR"/>
    </w:rPr>
  </w:style>
  <w:style w:type="paragraph" w:customStyle="1" w:styleId="Textoindependiente2">
    <w:name w:val="Texto independiente2"/>
    <w:basedOn w:val="Normal"/>
    <w:rsid w:val="00F519EF"/>
    <w:pPr>
      <w:adjustRightInd/>
      <w:spacing w:line="240" w:lineRule="auto"/>
      <w:textAlignment w:val="auto"/>
    </w:pPr>
    <w:rPr>
      <w:rFonts w:ascii="Times" w:hAnsi="Times"/>
      <w:lang w:val="es-ES"/>
    </w:rPr>
  </w:style>
  <w:style w:type="paragraph" w:styleId="Textodecuerpo">
    <w:name w:val="Body Text"/>
    <w:basedOn w:val="Normal"/>
    <w:link w:val="TextodecuerpoCar"/>
    <w:uiPriority w:val="99"/>
    <w:semiHidden/>
    <w:unhideWhenUsed/>
    <w:rsid w:val="00EE16ED"/>
    <w:pPr>
      <w:spacing w:after="120"/>
    </w:pPr>
  </w:style>
  <w:style w:type="character" w:customStyle="1" w:styleId="TextodecuerpoCar">
    <w:name w:val="Texto de cuerpo Car"/>
    <w:basedOn w:val="Fuentedeprrafopredeter"/>
    <w:link w:val="Textodecuerpo"/>
    <w:uiPriority w:val="99"/>
    <w:semiHidden/>
    <w:rsid w:val="00EE16ED"/>
    <w:rPr>
      <w:rFonts w:ascii="Verdana" w:eastAsia="Times New Roman" w:hAnsi="Verdana" w:cs="Times New Roman"/>
      <w:sz w:val="24"/>
      <w:szCs w:val="24"/>
      <w:lang w:val="es-CR" w:eastAsia="es-CR"/>
    </w:rPr>
  </w:style>
  <w:style w:type="character" w:customStyle="1" w:styleId="fontstyle21">
    <w:name w:val="fontstyle21"/>
    <w:basedOn w:val="Fuentedeprrafopredeter"/>
    <w:rsid w:val="005B0504"/>
    <w:rPr>
      <w:rFonts w:ascii="Helvetica-Oblique" w:hAnsi="Helvetica-Oblique" w:hint="default"/>
      <w:b w:val="0"/>
      <w:bCs w:val="0"/>
      <w:i/>
      <w:iCs/>
      <w:color w:val="2B2B2B"/>
      <w:sz w:val="16"/>
      <w:szCs w:val="16"/>
    </w:rPr>
  </w:style>
  <w:style w:type="paragraph" w:customStyle="1" w:styleId="1">
    <w:name w:val="1"/>
    <w:basedOn w:val="Normal"/>
    <w:rsid w:val="003248AE"/>
    <w:pPr>
      <w:widowControl/>
      <w:adjustRightInd/>
      <w:spacing w:after="160" w:line="240" w:lineRule="exact"/>
      <w:jc w:val="left"/>
      <w:textAlignment w:val="auto"/>
    </w:pPr>
    <w:rPr>
      <w:sz w:val="16"/>
      <w:szCs w:val="22"/>
      <w:vertAlign w:val="superscript"/>
      <w:lang w:eastAsia="en-US"/>
    </w:rPr>
  </w:style>
  <w:style w:type="paragraph" w:customStyle="1" w:styleId="Heading71">
    <w:name w:val="Heading 71"/>
    <w:basedOn w:val="Normal"/>
    <w:rsid w:val="00075A44"/>
    <w:pPr>
      <w:numPr>
        <w:numId w:val="17"/>
      </w:numPr>
    </w:pPr>
    <w:rPr>
      <w:sz w:val="24"/>
      <w:szCs w:val="24"/>
    </w:rPr>
  </w:style>
  <w:style w:type="character" w:customStyle="1" w:styleId="apple-style-span">
    <w:name w:val="apple-style-span"/>
    <w:basedOn w:val="Fuentedeprrafopredeter"/>
    <w:rsid w:val="00E45960"/>
  </w:style>
  <w:style w:type="character" w:styleId="Hipervnculovisitado">
    <w:name w:val="FollowedHyperlink"/>
    <w:basedOn w:val="Fuentedeprrafopredeter"/>
    <w:uiPriority w:val="99"/>
    <w:semiHidden/>
    <w:unhideWhenUsed/>
    <w:rsid w:val="008372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490025">
      <w:bodyDiv w:val="1"/>
      <w:marLeft w:val="0"/>
      <w:marRight w:val="0"/>
      <w:marTop w:val="0"/>
      <w:marBottom w:val="0"/>
      <w:divBdr>
        <w:top w:val="none" w:sz="0" w:space="0" w:color="auto"/>
        <w:left w:val="none" w:sz="0" w:space="0" w:color="auto"/>
        <w:bottom w:val="none" w:sz="0" w:space="0" w:color="auto"/>
        <w:right w:val="none" w:sz="0" w:space="0" w:color="auto"/>
      </w:divBdr>
    </w:div>
    <w:div w:id="559824792">
      <w:bodyDiv w:val="1"/>
      <w:marLeft w:val="0"/>
      <w:marRight w:val="0"/>
      <w:marTop w:val="0"/>
      <w:marBottom w:val="0"/>
      <w:divBdr>
        <w:top w:val="none" w:sz="0" w:space="0" w:color="auto"/>
        <w:left w:val="none" w:sz="0" w:space="0" w:color="auto"/>
        <w:bottom w:val="none" w:sz="0" w:space="0" w:color="auto"/>
        <w:right w:val="none" w:sz="0" w:space="0" w:color="auto"/>
      </w:divBdr>
    </w:div>
    <w:div w:id="625744795">
      <w:bodyDiv w:val="1"/>
      <w:marLeft w:val="0"/>
      <w:marRight w:val="0"/>
      <w:marTop w:val="0"/>
      <w:marBottom w:val="0"/>
      <w:divBdr>
        <w:top w:val="none" w:sz="0" w:space="0" w:color="auto"/>
        <w:left w:val="none" w:sz="0" w:space="0" w:color="auto"/>
        <w:bottom w:val="none" w:sz="0" w:space="0" w:color="auto"/>
        <w:right w:val="none" w:sz="0" w:space="0" w:color="auto"/>
      </w:divBdr>
    </w:div>
    <w:div w:id="648368899">
      <w:bodyDiv w:val="1"/>
      <w:marLeft w:val="0"/>
      <w:marRight w:val="0"/>
      <w:marTop w:val="0"/>
      <w:marBottom w:val="0"/>
      <w:divBdr>
        <w:top w:val="none" w:sz="0" w:space="0" w:color="auto"/>
        <w:left w:val="none" w:sz="0" w:space="0" w:color="auto"/>
        <w:bottom w:val="none" w:sz="0" w:space="0" w:color="auto"/>
        <w:right w:val="none" w:sz="0" w:space="0" w:color="auto"/>
      </w:divBdr>
    </w:div>
    <w:div w:id="688024261">
      <w:bodyDiv w:val="1"/>
      <w:marLeft w:val="0"/>
      <w:marRight w:val="0"/>
      <w:marTop w:val="0"/>
      <w:marBottom w:val="0"/>
      <w:divBdr>
        <w:top w:val="none" w:sz="0" w:space="0" w:color="auto"/>
        <w:left w:val="none" w:sz="0" w:space="0" w:color="auto"/>
        <w:bottom w:val="none" w:sz="0" w:space="0" w:color="auto"/>
        <w:right w:val="none" w:sz="0" w:space="0" w:color="auto"/>
      </w:divBdr>
    </w:div>
    <w:div w:id="209446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corteidh.or.cr/docs/asuntos/jenkins_19_12_18.pdf" TargetMode="External"/><Relationship Id="rId2" Type="http://schemas.openxmlformats.org/officeDocument/2006/relationships/hyperlink" Target="http://www.corteidh.or.cr/docs/asuntos/jenkins_19_12_18.pdf" TargetMode="External"/><Relationship Id="rId3" Type="http://schemas.openxmlformats.org/officeDocument/2006/relationships/hyperlink" Target="http://servicios.infoleg.gob.ar/infolegInternet/anexos/0-4999/776/norm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67002-258E-C14E-A338-0BAD3507E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19531</Words>
  <Characters>107423</Characters>
  <Application>Microsoft Macintosh Word</Application>
  <DocSecurity>0</DocSecurity>
  <Lines>895</Lines>
  <Paragraphs>253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126701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Corte IDH</dc:creator>
  <cp:lastModifiedBy>Garbanzo Potranca</cp:lastModifiedBy>
  <cp:revision>2</cp:revision>
  <cp:lastPrinted>2019-12-17T17:35:00Z</cp:lastPrinted>
  <dcterms:created xsi:type="dcterms:W3CDTF">2020-07-22T21:42:00Z</dcterms:created>
  <dcterms:modified xsi:type="dcterms:W3CDTF">2020-07-22T21:42:00Z</dcterms:modified>
</cp:coreProperties>
</file>